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Abstract (Objective, Methods, Results, Conclusion);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(consecutive children with an operative diagnosis of malrotation; institutional clinical and surgical records database)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'Report-content audit and classification'; Supplement 1, Sections A–J</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55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and 'Report-content audit and classification' (reclassification of possible-tier conclusions; paired analysis restricted to 48 h and 24 h);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(the 55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'Detection and certainty of wording' (unadjusted and adjusted GEE odds ratios); Supplement 2, Table S3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Methods, 'Statistical analysis'; Supplement 2, Table S5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sz w:val="17"/>
              </w:rPr>
              <w:t>Results, 'Selected subgroup and populations not represented'; Discussion, Limitations (single center; skew toward severe neonatal disease)</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