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five reports were changed to positive because a malrotation sign appeared in the findings section without being carried into the conclusion (Section G). The final outcome is therefore "positive under the study definition after adjudication", not "positive conclusion", and the two differ in those five reports.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characterize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all 740 index units).</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w:t>
      </w:r>
    </w:p>
    <w:p>
      <w:pPr>
        <w:spacing w:after="160"/>
      </w:pPr>
      <w:r>
        <w:t>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2.4 days earlier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740 index examination episodes — the same index unit the analysis uses — and compares the result with the final labels (the algorithmic labels after adjudication). The reference implementation agreed on 732 of 740 (98.9%): 298 of 301 (99.0%) for the UGI series, 316 of 320 (98.8%) for CT and 118 of 119 (99.2%) for ultrasound. All eight disagreements were reference-implementation under-calls; there was no over-call.</w:t>
      </w:r>
    </w:p>
    <w:p>
      <w:pPr>
        <w:spacing w:after="160"/>
      </w:pPr>
      <w:r>
        <w:t>These 8 disagreements are not the same set as the 10 corrections made by the adjudicator in Section G, and the two counts should not be equated. The 10 are the corrections made after human review; the 8 are the index units where the published code and the final label differ, across all 740. Only some of the 8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8 share the failure modes listed in Section G: the diagnosis stated in the findings section but not carried into the conclusion; a conclusion consisting only of a cross-reference to another report; and a diagnostic sign described morphologically without the diagnosis being named. That all 8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eight units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237 (78.7%)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 (21.3%)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169 (52.8%)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151 (47.2%)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55 (46.2%)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All three</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270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