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2. Between-modality models, the selected paired subgroup, and detection stratified by volvulus and age</w:t>
      </w:r>
    </w:p>
    <w:p>
      <w:pPr>
        <w:spacing w:after="160"/>
      </w:pPr>
      <w:r>
        <w:t>Supplement to: "Routine Ultrasound Reports for Pediatric Intestinal Malrotation Rarely Document Duodenal Landmarks: A Single-Center Audit"</w:t>
      </w:r>
    </w:p>
    <w:p>
      <w:pPr>
        <w:pStyle w:val="Heading1"/>
      </w:pPr>
      <w:r>
        <w:t>S2.1 Between-modality comparison (generalized estimating equation)</w:t>
      </w:r>
    </w:p>
    <w:p>
      <w:pPr>
        <w:spacing w:after="160"/>
      </w:pPr>
      <w:r>
        <w:rPr>
          <w:b/>
        </w:rPr>
        <w:t>Table S3. Between-modality comparison of report-level detection (generalized estimating equation)</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Effect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Unadjusted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Adjusted OR (95% CI)</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 (adjusted)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0.30 (0.22–0.42)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0.29 (0.20–0.40)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vs UGI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0.32 (0.21–0.48)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0.26 (0.17–0.42)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Operated 2019–2026 vs 2012–2018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1.75 (1.18–2.62)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 vs neonate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1.05 (0.67–1.65)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0.822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 vs neonate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3.02 (1.64–5.54)</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0.99 (95% CI 0.36–2.70, p=0.98),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Measure</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(n=59)</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48 h (n=47)</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All three within 24 h (n=31)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45/59 (76.3; 64.0–85.3)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39/47 (83.0; 69.9–91.1)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27/31 (87.1; 71.1–94.9)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31/59 (52.5; 40.0–64.7)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28/47 (59.6; 45.3–72.4)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20/31 (64.5; 46.9–78.9)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27/59 (45.8; 33.7–58.3)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23/47 (48.9; 35.3–62.8)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16/31 (51.6; 34.8–68.0)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whirlpool sign, n/N (%; 95% CI)</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30/59 (50.8; 38.4–63.2)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27/47 (57.4; 43.3–70.5)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19/31 (61.3; 43.8–76.3)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Cochran's Q,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&lt;0.001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0.002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CT: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24/6, p=0.001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20/4, p=0.002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12/1, p=0.003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Exact McNemar UGI vs US: discordant pairs, 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20/6, p=0.009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14/3, p=0.013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8/1, p=0.039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Exact McNemar CT vs US: discordant pairs, p</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 p=0.481</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4/9, p=0.267</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describes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although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Figure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Stratum</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Detected / total</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rate % (95% CI)</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212/268</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79.1 (73.8–83.5)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25/33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75.8 (59.0–87.2)</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164/216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75.9 (69.8–81.1)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32/40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80.0 (65.2–89.5)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UGI contrast series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41/45</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91.1 (79.3–96.5)</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148/281</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52.7 (46.8–58.4)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21/39</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53.8 (38.6–68.4)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103/222</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46.4 (40.0–53.0)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21/44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47.7 (33.8–62.1)</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Abdominal CT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45/54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83.3 (71.3–91.0)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present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64/113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56.6 (47.4–65.4)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Midgut volvulus absent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0.0 (0.0–39.0)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≤28 days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50/90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55.6 (45.3–65.4)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Age 29 days–1 year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7/14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50.0 (26.8–73.2)</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Gastrointestinal ultrasound</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Age &gt;1 year</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7/15</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Index test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Volvulus-specific sign / children with confirmed midgut volvulus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Rate % (95% CI)</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Upper gastrointestinal series</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129/268</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48.1 (42.2–54.1)</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58/113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51.3 (42.2–60.3)</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Abdominal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104/281</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harmonized rule used here is the one implemented in `Supplement_1_classifier.py` and in the audit script.</w:t>
      </w:r>
    </w:p>
    <w:p>
      <w:pPr>
        <w:spacing w:after="160"/>
      </w:pPr>
      <w:r>
        <w:t>The finding that survives this sensitivity analysis is directional rather than comparative. Within ultrasound, the whirlpool sign was both the dominant documented finding and the near-exclusive determinant of a positive report (main manuscript, Table 3), consistent with its being a sign of volvulus rather than of malrotation.</w:t>
      </w:r>
    </w:p>
    <w:p>
      <w:pPr>
        <w:pStyle w:val="Heading1"/>
      </w:pPr>
      <w:r>
        <w:t>S2.5 Sensitivity to the three principal analytic choices</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reaching conventional significance only with the boundary at 2020 and falling short of it at 2019, 2021 and 2022; the examination-type effect is stable throughout (odds ratio 3.44–4.31, all p≤0.003) and the adjusted era term is non-significant at every boundary. The temporal claim in the manuscript therefore does not depend on where the boundary is placed, and the crude era difference alone does not survive a boundary chosen to match the department's own account.</w:t>
      </w:r>
    </w:p>
    <w:p>
      <w:pPr>
        <w:spacing w:after="160"/>
      </w:pPr>
      <w:r>
        <w:rPr>
          <w:b/>
        </w:rPr>
        <w:t>Table S8. Ultrasound temporal model with the era boundary placed at 2019, 2020, 2021 and 2022</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boundary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Examinations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 before / after</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Era odds ratio adjusted for examination type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Examination-type odds ratio</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39 / 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16/39 (41.0%) / 48/80 (60.0%)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2.16 (0.99–4.70), p=0.053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1.44 (0.62–3.37), p=0.399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3.73 (1.67–8.33), p=0.001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+19.0 → +8.2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44 / 75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17/44 (38.6%) / 47/75 (62.7%)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2.67 (1.24–5.74), p=0.012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1.74 (0.75–4.04), p=0.193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3.44 (1.52–7.77), p=0.003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+24.0 → +12.6 pp</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2021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62 / 57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29/62 (46.8%) / 35/57 (61.4%)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1.81 (0.87–3.76), p=0.111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1.18 (0.53–2.65), p=0.686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3.92 (1.74–8.82), p&lt;0.001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sz w:val="17"/>
              </w:rPr>
              <w:t>+14.6 → +3.7 pp</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2022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76 / 43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40/76 (52.6%) / 24/43 (55.8%)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1.14 (0.54–2.41), p=0.738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0.83 (0.36–1.88), p=0.648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4.31 (1.95–9.52), p&lt;0.001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+3.2 → -4.2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about half of the era difference at the 2019 and 2020 boundaries and for most of it at 2021 and 2022.</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Documented content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Closest preoperative episode (primary)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Earliest preoperative episode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D3 or 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3/119 (2.5%)</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3/119 (2.5%)</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12/119 (10.1%)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12/119 (10.1%)</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Enteric fluid administration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2/119 (1.7%)</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1/119 (0.8%)</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Whirlpool, swirl or spiral appearance reported</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58/119 (48.7%)</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403 children with volvulus, 327 had a stated degree (308 of at least 360° and 19 of 90–270°) and 76 had a torsion statement with no angle recorded. Table S10 tightens the definition in two ways: excluding only the 19 children whose record states a rotation below 360°, and additionally requiring a stated degree, which also excludes the 76 with no angle recorded. The second is not simply stricter, since it removes children for incomplete operative documentation rather than for a lesser degree of torsion; both are therefore shown.</w:t>
      </w:r>
    </w:p>
    <w:p>
      <w:pPr>
        <w:spacing w:after="160"/>
      </w:pPr>
      <w:r>
        <w:rPr>
          <w:b/>
        </w:rPr>
        <w:t>Table S10. Prevalence of midgut volvulus, and the whirlpool sign among those children, under three definitions of volvulus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Definition of midgut volvulus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Whole cohort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Children who underwent ultrasound</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Whirlpool reported among those with volvulus</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Explicit operative statement of torsion, or any documented degree of rotation (primary)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403/465 (86.7%)</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113/119 (95.0%)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58/113 (51.3%)</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Excluding children whose record states a rotation below 360°</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384/465 (82.6%)</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104/119 (87.4%)</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sz w:val="17"/>
              </w:rPr>
              <w:t>54/104 (51.9%)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Requiring a documented rotation of 360° or more</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308/465 (66.2%)</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89/119 (74.8%)</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50/89 (56.2%)</w:t>
            </w:r>
          </w:p>
        </w:tc>
      </w:tr>
    </w:tbl>
    <w:p>
      <w:pPr>
        <w:spacing w:after="160"/>
      </w:pPr>
    </w:p>
    <w:p>
      <w:pPr>
        <w:spacing w:after="160"/>
      </w:pPr>
      <w:r>
        <w:t>Excluding the 19 children with a rotation below 360° lowers volvulus prevalence from 86.7% to 82.6% in the cohort and from 95.0% to 87.4% among the children who underwent ultrasound; additionally requiring a stated degree lowers it to 66.2% and 74.8%. Neither changes the manuscript's claims. The whirlpool sign remains documented in about half of the children with confirmed volvulus under all three definitions (51.3%, 51.9% and 56.2%), so the finding that ultrasound recorded a whirlpool in only about half of the children whose operation confirmed volvulus does not depend on where the definition is drawn. The group with malrotation but no volvulus remains too small under any definition for a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only just, its lower bound falling at +0.6 percentage points, and the adjusted effect does not exclude zero; the two intervals overlap heavily, so the analysis shows that examination type accounts for more than half the era difference, not that the remainder is absent.</w:t>
      </w:r>
    </w:p>
    <w:p>
      <w:pPr>
        <w:spacing w:after="160"/>
      </w:pPr>
      <w:r>
        <w:rPr>
          <w:b/>
        </w:rPr>
        <w:t>Table S11. Average marginal effect of later era, with bootstrap confidence intervals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4680"/>
        <w:gridCol w:w="4680"/>
      </w:tblGrid>
      <w:tr>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Modality and model</w:t>
            </w:r>
          </w:p>
        </w:tc>
        <w:tc>
          <w:tcPr>
            <w:tcW w:type="dxa" w:w="468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Average marginal effect of later era, percentage points (95% CI)</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+19.0 (+0.6 to +37.6)</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adjusted for great-vessel session</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+8.2 (-11.6 to +27.8)</w:t>
            </w:r>
          </w:p>
        </w:tc>
      </w:tr>
      <w:tr>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CT, crude</w:t>
            </w:r>
          </w:p>
        </w:tc>
        <w:tc>
          <w:tcPr>
            <w:tcW w:type="dxa" w:w="4680"/>
            <w:tcBorders>
              <w:left w:sz="0" w:val="nil" w:color="auto"/>
              <w:right w:sz="0" w:val="nil" w:color="auto"/>
              <w:top w:sz="0" w:val="nil" w:color="auto"/>
              <w:bottom w:sz="0" w:val="nil" w:color="auto"/>
            </w:tcBorders>
          </w:tcPr>
          <w:p>
            <w:pPr>
              <w:spacing w:after="40" w:before="40"/>
            </w:pPr>
            <w:r/>
            <w:r>
              <w:rPr>
                <w:rFonts w:ascii="Times New Roman" w:hAnsi="Times New Roman"/>
                <w:sz w:val="17"/>
              </w:rPr>
              <w:t>+19.2 (+8.0 to +30.3)</w:t>
            </w:r>
          </w:p>
        </w:tc>
      </w:tr>
      <w:tr>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adjusted for contrast enhancement</w:t>
            </w:r>
          </w:p>
        </w:tc>
        <w:tc>
          <w:tcPr>
            <w:tcW w:type="dxa" w:w="468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+15.5 (+4.2 to +27.6)</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872"/>
        <w:gridCol w:w="1872"/>
        <w:gridCol w:w="1872"/>
        <w:gridCol w:w="1872"/>
        <w:gridCol w:w="1872"/>
      </w:tblGrid>
      <w:tr>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Comparison (n=59)</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Detection</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Difference, percentage points (95% CI)</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Discordant pairs</w:t>
            </w:r>
          </w:p>
        </w:tc>
        <w:tc>
          <w:tcPr>
            <w:tcW w:type="dxa" w:w="1872"/>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Exact McNemar p</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CT</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45.8%</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+30.5 (+15.3 to +47.5)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24/6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0.001</w:t>
            </w:r>
          </w:p>
        </w:tc>
      </w:tr>
      <w:tr>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UGI series vs ultrasound</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76.3% vs 52.5%</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+23.7 (+8.5 to +39.0)</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20/6</w:t>
            </w:r>
          </w:p>
        </w:tc>
        <w:tc>
          <w:tcPr>
            <w:tcW w:type="dxa" w:w="1872"/>
            <w:tcBorders>
              <w:left w:sz="0" w:val="nil" w:color="auto"/>
              <w:right w:sz="0" w:val="nil" w:color="auto"/>
              <w:top w:sz="0" w:val="nil" w:color="auto"/>
              <w:bottom w:sz="0" w:val="nil" w:color="auto"/>
            </w:tcBorders>
          </w:tcPr>
          <w:p>
            <w:pPr>
              <w:spacing w:after="40" w:before="40"/>
            </w:pPr>
            <w:r/>
            <w:r>
              <w:rPr>
                <w:rFonts w:ascii="Times New Roman" w:hAnsi="Times New Roman"/>
                <w:sz w:val="17"/>
              </w:rPr>
              <w:t>0.009</w:t>
            </w:r>
          </w:p>
        </w:tc>
      </w:tr>
      <w:tr>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CT vs ultrasound</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45.8% vs 52.5%</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-6.8 (-20.3 to +6.8)</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7/11</w:t>
            </w:r>
          </w:p>
        </w:tc>
        <w:tc>
          <w:tcPr>
            <w:tcW w:type="dxa" w:w="1872"/>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0.481</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penalized logistic model of ultrasound detection on volvulus returns a finite estimate. Its interval must be a profile penalized-likelihood interval rather than a Wald one, because under separation the two disagree here: the Wald interval spans 0.74 to 387 and the profile interval 1.93 to 2229 (penalized likelihood-ratio p=0.006). The direction of the contrast is therefore supported, ultrasound having been far more often positive when volvulus was present, while its magnitude is not estimable to any useful precision from six children. The estimate was reproduced to six decimal places by an independent implementation.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penalized likelihood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Analysis</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Estimate (95% CI)</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p</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upper gastrointestinal series vs CT (GEE; estimable)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CT x volvulus odds ratio 0.99 (0.36–2.70)</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0.981</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Modality x volvulus interaction including ultrasound (GEE)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Not estimable (complete separation)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Ultrasound detection given midgut volvulus, Firth penalized logistic</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Odds ratio 16.9 (1.93–2229, profile penalized likelihood)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0.006</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Era x examination-content interaction,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1.06 (0.19–5.81)</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sz w:val="17"/>
              </w:rPr>
              <w:t>0.950</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Era x examination-content interaction, CT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1.52 (0.31–7.34)</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sz w:val="17"/>
              </w:rPr>
              <w:t>0.603</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Supplement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