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obtained when the third portion of the duodenum (D3), the duodenojejunal junction and the mesenteric vessels are assessed under a dedicated protocol. Clinical decisions, however, rest on the routine report issued during unselected care, and whether routine reports contain the elements that produced those figures has not, to our knowledge, been examined at scale. This is a question of clinical practice management, namely the content and quality of routine radiology reports, rather than of the intrinsic accuracy of a modality, which is why we are submitting it to </w:t>
      </w:r>
      <w:r>
        <w:rPr>
          <w:i/>
        </w:rPr>
        <w:t>JACR</w:t>
      </w:r>
      <w:r>
        <w:t>.</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6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60% across the study period, and the change tracked how the examination was booked rather than what it documented: adjusting for a shift toward sessions that included an abdominal great-vessel study reduced the era effect from +19.0 to +8.2 percentage points, an interval that includes zero. By the department's account there was no change of equipment, staffing or protocol over the period, and growing awareness attached to the whirlpool sign rather than to duodenal anatomy, so detection rose while duodenal documentation did not.</w:t>
      </w:r>
    </w:p>
    <w:p>
      <w:pPr>
        <w:spacing w:after="160"/>
      </w:pPr>
      <w:r>
        <w:t>For radiology departments the implication is practical. Before assuming that published performance applies locally, a department can audit whether its own reports document the duodenal landmarks, and a structured malrotation ultrasound report requiring explicit statements on D3, the duodenojejunal junction and study adequacy would make such a deficit visible prospectively. The audit method, a transparent rule-based classification of free-text reports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