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line="480" w:lineRule="auto"/>
      </w:pPr>
      <w:r>
        <w:t>[Masked manuscript. Author names, affiliations and corresponding-author details are provided on the separate title page.]</w:t>
      </w:r>
    </w:p>
    <w:p>
      <w:pPr>
        <w:spacing w:after="160" w:line="480" w:lineRule="auto"/>
      </w:pPr>
      <w:r>
        <w:t>Word count: 2,990 (Introduction through Take-Home Points; excluding abstract, references, tables and figure legends); Tables: 4; Figures: 3; Supplemental material: Supplements 1–3</w:t>
      </w:r>
    </w:p>
    <w:p>
      <w:pPr>
        <w:pStyle w:val="Heading1"/>
      </w:pPr>
      <w:r>
        <w:t>Abstract</w:t>
      </w:r>
    </w:p>
    <w:p>
      <w:pPr>
        <w:spacing w:after="160" w:line="480" w:lineRule="auto"/>
      </w:pPr>
      <w:r>
        <w:rPr>
          <w:b/>
        </w:rPr>
        <w:t>Objective:</w:t>
      </w:r>
      <w:r>
        <w:t xml:space="preserve"> Ultrasound is increasingly advocated as first-line for suspected intestinal malrotation, based on sensitivities of 93–97% under dedicated protocols. We audited what routine reports document and whether the diagnosis was reported.</w:t>
      </w:r>
    </w:p>
    <w:p>
      <w:pPr>
        <w:spacing w:after="160" w:line="480" w:lineRule="auto"/>
      </w:pPr>
      <w:r>
        <w:rPr>
          <w:b/>
        </w:rPr>
        <w:t>Methods:</w:t>
      </w:r>
      <w:r>
        <w:t xml:space="preserve"> Retrospective case-only report audit at one tertiary children's hospital (December 2012–June 2026). Preoperative examination episodes closest to operation were classified for detection by a rule-based algorithm with blinded surgical adjudication, and separately audited for documented technical content. The cohort being surgically confirmed, the outcome is report-level detection among children who underwent the test; specificity, predictive values and comparative accuracy are not estimable.</w:t>
      </w:r>
    </w:p>
    <w:p>
      <w:pPr>
        <w:spacing w:after="160" w:line="480" w:lineRule="auto"/>
      </w:pPr>
      <w:r>
        <w:rPr>
          <w:b/>
        </w:rPr>
        <w:t>Results:</w:t>
      </w:r>
      <w:r>
        <w:t xml:space="preserve"> Among 465 children (volvulus in 86.7%), 410 underwent at least one index test. Three of 119 ultrasound examinations (2.5%) documented the third portion of the duodenum or the duodenojejunal junction, 12 (10.1%) the mesenteric artery–vein relationship and 2 (1.7%) enteric fluid; a whirlpool sign was reported in 48.7%. Ultrasound reported malrotation in 64 of 119 examinations (53.8%): in 58 of 58 recording a whirlpool and 6 of 61 without one, whereas a whirlpool appeared in only 58 of 113 children with confirmed volvulus. Ultrasound detection rose from 41.0% to 60.0% between eras; adjusting for a shift toward great-vessel sessions reduced the difference from +19.0 to +8.2 percentage points, an interval including zero.</w:t>
      </w:r>
    </w:p>
    <w:p>
      <w:pPr>
        <w:spacing w:after="160" w:line="480" w:lineRule="auto"/>
      </w:pPr>
      <w:r>
        <w:rPr>
          <w:b/>
        </w:rPr>
        <w:t>Discussion:</w:t>
      </w:r>
      <w:r>
        <w:t xml:space="preserve"> Routine ultrasound functioned as a whirlpool-dependent test for volvulus rather than a protocolized assessment of duodenal position. Whether the missing elements would close the gap to published performance cannot be tested here, but the deficit is measurable.</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within hours to bowel necrosis, short-bowel syndrome or death [1, 2]. Bilious vomiting in a neonate is a surgical emergency until malrotation with volvulus has been excluded, although older children may present atypically and be diagnosed late [3, 4].</w:t>
      </w:r>
    </w:p>
    <w:p>
      <w:pPr>
        <w:spacing w:after="160" w:line="480" w:lineRule="auto"/>
      </w:pPr>
      <w:r>
        <w:t>The upper gastrointestinal (UGI) contrast series has long been the reference imaging test, based on the position of the duodenojejunal junction and the course of the proximal small bowel [5–7], although its interpretation has well-described mimics [8]. Abdominal CT is not a dedicated test, and the mesenteric swirl it may show is neither reliably present nor specific in children [9, 10]. The field has moved toward ultrasound: series report sensitivities of 93–97% under dedicated protocols, a systematic review of 17 studies and 2,257 children estimated a pooled sensitivity of 94% [11–13], and a single-center study of 539 children investigated for clinical suspicion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line="480" w:lineRule="auto"/>
      </w:pPr>
      <w:r>
        <w:t>Those studies describe what ultrasound achieves under favorable conditions; clinicians act on the routine report issued during unselected care. To our knowledge, no study has examined the content of routine malrotation ultrasound reports at scale, or related it to whether the diagnosis was reported.</w:t>
      </w:r>
    </w:p>
    <w:p>
      <w:pPr>
        <w:spacing w:after="160" w:line="480" w:lineRule="auto"/>
      </w:pPr>
      <w:r>
        <w:t>We therefore audited 13.5 years of routine reports at a tertiary children's hospital. Because every child had surgically confirmed malrotation, the study measures how often the disease was reported and with what documented content, not how accurate the tests are. The contrast series and CT are reported alongside ultrasound to show where ultrasound sat in the diagnostic pathway, not to rank them.</w:t>
      </w:r>
    </w:p>
    <w:p>
      <w:pPr>
        <w:pStyle w:val="Heading1"/>
      </w:pPr>
      <w:r>
        <w:t>Methods</w:t>
      </w:r>
    </w:p>
    <w:p>
      <w:pPr>
        <w:pStyle w:val="Heading2"/>
      </w:pPr>
      <w:r>
        <w:t>Design, terminology and estimable quantities</w:t>
      </w:r>
    </w:p>
    <w:p>
      <w:pPr>
        <w:spacing w:after="160" w:line="480" w:lineRule="auto"/>
      </w:pPr>
      <w:r>
        <w:t xml:space="preserve">This was a retrospective, single-center,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Malrotation, midgut volvulus and malrotation with volvulus are distinguished throughout; the whirlpool sign is a sign of volvulus rather than of malrotation [20].</w:t>
      </w:r>
    </w:p>
    <w:p>
      <w:pPr>
        <w:pStyle w:val="Heading2"/>
      </w:pPr>
      <w:r>
        <w:t>Participants, reference standard and index tests</w:t>
      </w:r>
    </w:p>
    <w:p>
      <w:pPr>
        <w:spacing w:after="160" w:line="480" w:lineRule="auto"/>
      </w:pPr>
      <w:r>
        <w:t>We searched the institutional surgical records database for operations performed between December 2012 and June 2026 in which the operative diagnosis named intestinal malrotation or the procedure was recorded as a Ladd procedure, and reviewed every record retrieved (search strings in Supplement 1). Of 559 operative records in 499 children, 503 records in 465 consecutive children met this criterion,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as the department routinely issues separate gastrointestinal and great-vessel reports for one ultrasound session. This yielded 740 index examinations from 778 reports; 34 earlier repeat examinations were not audited (Figure 1). The clinical indication on each request was not retrievable, so confounding by indication is displayed through the characteristics of each modality group (Table 1) rather than adjusted for.</w:t>
      </w:r>
    </w:p>
    <w:p>
      <w:pPr>
        <w:spacing w:after="160" w:line="480" w:lineRule="auto"/>
      </w:pPr>
      <w:r>
        <w:t>Examinations were reported during routine care by radiologists unaware of the operative findings but not blinded to clinical history or previous imaging, within the general pediatric ultrasound service rather than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line="480" w:lineRule="auto"/>
      </w:pPr>
      <w:r>
        <w:t>Each index unit was coded for documented technical content using text patterns applied to the findings and conclusion sections: for ultrasound, D3 or the duodenojejunal junction, the mesenteric artery–vein relationship and vessel inversion, a whirlpool appearance, enteric fluid, dynamic and graded-compression technique, limiting bowel gas, cecal position and bedside performance; for CT and the UGI series, the corresponding landmarks (Supplement 1). Technique elements were counted as documented whether the finding was normal or abnormal; the whirlpool sign, a finding rather than a technique, was counted only where not negated.</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we report how often conclusions named the diagnosis outright. Tentative phrasing is standard here, so the certainty tier of every positive conclusion was tabulated and the analyses repeated with "possible" tiers counted as negative.</w:t>
      </w:r>
    </w:p>
    <w:p>
      <w:pPr>
        <w:spacing w:after="160" w:line="480" w:lineRule="auto"/>
      </w:pPr>
      <w:r>
        <w:t>Report text was classified using a rule-based, clause-level algorithm with explicit negation handling [21]; the rule dictionary, negation logic, per-modality label distribution and worked misclassification examples are given in Supplement 1. A pediatric surgeon blinded to the operative findings adjudicated 32 reports. Agreement was 92% (Cohen kappa 0.83) in a stratified random sample of 24, and a targeted review of 8 suspected discordances identified 5 further under-calls, corrected from the full report text and excluded from the agreement statistics. All seven being under-calls, every index unit was then screened in both directions, returning nine positives whose text matched no diagnostic term or sign pattern and no negative naming the diagnosis. Source review confirmed three of the nine as over-calls, corrected to negative. Because adjudication read the whole report, the final label is the algorithmic label after review, not the conclusion alone. With a single adjudicator, interobserver agreement could not be estimated.</w:t>
      </w:r>
    </w:p>
    <w:p>
      <w:pPr>
        <w:pStyle w:val="Heading2"/>
      </w:pPr>
      <w:r>
        <w:t>Statistical analysis</w:t>
      </w:r>
    </w:p>
    <w:p>
      <w:pPr>
        <w:spacing w:after="160" w:line="480" w:lineRule="auto"/>
      </w:pPr>
      <w:r>
        <w:t>Detection rates are presented with Wilson 95% confidence intervals (CIs), with denominators shown wherever a rate appears. All analysis variables were complete. Between-modality comparison used a generalized estimating equation (GEE) logistic model [22]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children who underwent each test. A pre-specified modality-by-volvulus interaction was not estimable in the three-modality model, as no ultrasound examination was positive among the six children without volvulus; the estimable UGI-versus-CT interaction and a Firth penalized estimate of the separated contrast are given in Supplement 2 [23, 24]. In the subgroup that underwent all three modalities, detection was compared using Cochran's Q, the exact McNemar test and paired differences with bootstrap CIs (Supplement 2). The temporal change was examined using modality-specific logistic models of detection on era, before and after adding that modality's content variable, reported as odds ratios and as average marginal effects (Table 4); the era boundary was varied from 2019 to 2022. Attenuation was interpreted as consistent with the change operating through examination content rather than calendar time, not as a mediation estimate; era-by-content interaction terms were also fitted. P values were not adjusted for multiplicity, and Supplement 2 lists which analyses were pre-specified and which were decided after inspection of the data. Analyses used Python 3.12 (statsmodels 0.15, SciPy 1.17).</w:t>
      </w:r>
    </w:p>
    <w:p>
      <w:pPr>
        <w:pStyle w:val="Heading1"/>
      </w:pPr>
      <w:r>
        <w:t>Results</w:t>
      </w:r>
    </w:p>
    <w:p>
      <w:pPr>
        <w:pStyle w:val="Heading2"/>
      </w:pPr>
      <w:r>
        <w:t>Cohort and children without an index test</w:t>
      </w:r>
    </w:p>
    <w:p>
      <w:pPr>
        <w:spacing w:after="160" w:line="480" w:lineRule="auto"/>
      </w:pPr>
      <w:r>
        <w:t>Of 465 children with surgically confirmed malrotation, 302 (64.9%) were neonates and 403 (86.7%) had midgut volvulus (Table 1). An index examination was available in 301 children for the UGI series, 320 for CT and 119 for ultrasound; 410 underwent at least one and 59 all three. The remaining 55 (11.8%) underwent none of the three, but all had other preoperative imaging; in five it was documented before transfer (Table 1, Figure 1).</w:t>
      </w:r>
    </w:p>
    <w:p>
      <w:pPr>
        <w:spacing w:after="160" w:line="480" w:lineRule="auto"/>
      </w:pPr>
      <w:r>
        <w:t>The modality groups were not interchangeable (Table 1). Ultrasound was performed more often in children with volvulus, its use rising from 13% to 48% of operated children between eras. Among children who underwent more than one index test, the UGI series was the last preoperative test in 75.1% of those who received it against 19.2% for CT, and detection was higher in that position (80.4% vs 70.5% for the UGI series), a feature of the pathway rather than of the test.</w:t>
      </w:r>
    </w:p>
    <w:p>
      <w:pPr>
        <w:pStyle w:val="Heading2"/>
      </w:pPr>
      <w:r>
        <w:t>Detection and certainty of wording</w:t>
      </w:r>
    </w:p>
    <w:p>
      <w:pPr>
        <w:spacing w:after="160" w:line="480" w:lineRule="auto"/>
      </w:pPr>
      <w:r>
        <w:t>Detection was 237/301 (78.7%, 95% CI 73.8–83.0) for the UGI series, 169/320 (52.8%, 47.3–58.2) for CT and 64/119 (53.8%, 44.8–62.5) for ultrasound (Table 2, Figure 2). These denominators are indication-selected and overlapping, and are not a ranking. CT and ultrasound had lower odds of a positive report than the UGI series (adjusted odds ratio 0.29 and 0.26), and the same model showed higher detection above 1 year of age (3.02, 1.64–5.54) and in the later era (1.75, 1.18–2.62); these coefficients absorb indication, pathway position and examination content (Supplement 2). Reclassifying possible-tier conclusions as negative reduced detection to 51.2%, 33.4% and 26.9% (Table 2).</w:t>
      </w:r>
    </w:p>
    <w:p>
      <w:pPr>
        <w:pStyle w:val="Heading2"/>
      </w:pPr>
      <w:r>
        <w:t>Documented content of ultrasound examinations</w:t>
      </w:r>
    </w:p>
    <w:p>
      <w:pPr>
        <w:spacing w:after="160" w:line="480" w:lineRule="auto"/>
      </w:pPr>
      <w:r>
        <w:t>Of the 119 ultrasound index examinations, three (2.5%; 95% CI 0.9–7.2) documented D3 or the duodenojejunal junction and seven (5.9%) mentioned the duodenum (Table 3, Figure 3). Twelve (10.1%) addressed the mesenteric artery–vein relationship, and one stated that the vessels were inverted, although inversion was one of the two positivity criteria. Enteric fluid was recorded twice and graded compression once; a whirlpool was reported in 58 examinations (48.7%) and bowel gas limited 30 (25.2%).</w:t>
      </w:r>
    </w:p>
    <w:p>
      <w:pPr>
        <w:spacing w:after="160" w:line="480" w:lineRule="auto"/>
      </w:pPr>
      <w:r>
        <w:t>In 2018 the horizontal duodenum was described passing anterior to the superior mesenteric artery after oral contrast; in 2022 it was followed between the artery and the aorta with the duodenojejunal junction identified, the only examination resembling the published protocol; in 2024 it could not be filled and further imaging was advised.</w:t>
      </w:r>
    </w:p>
    <w:p>
      <w:pPr>
        <w:spacing w:after="160" w:line="480" w:lineRule="auto"/>
      </w:pPr>
      <w:r>
        <w:t>Detection followed this content closely. Malrotation was reported in 58 of the 58 examinations recording a whirlpool and in 6 of the 61 without one (9.8%, 95% CI 4.6–19.8). This contrast is partly definitional, as a whirlpool is itself a positivity criterion, and all 58 of those conclusions named malrotation or volvulus explicitly. The converse is more informative: a whirlpool was recorded in only 58 of the 113 children (51.3%) in whom operation confirmed midgut volvulus.</w:t>
      </w:r>
    </w:p>
    <w:p>
      <w:pPr>
        <w:pStyle w:val="Heading2"/>
      </w:pPr>
      <w:r>
        <w:t>Change in detection over time</w:t>
      </w:r>
    </w:p>
    <w:p>
      <w:pPr>
        <w:spacing w:after="160" w:line="480" w:lineRule="auto"/>
      </w:pPr>
      <w:r>
        <w:t>Ultrasound detection was 41.0% (16/39) in 2012–2018 and 60.0% (48/80) in 2019–2026, and rose for CT but not the UGI series (Table 4). For ultrasound the change tracked how the examination was booked. Sessions including a great-vessel study rose from 33.3% to 67.5%, and adding this indicator reduced the era effect from +19.0 (95% CI +0.6 to +37.6) to +8.2 (−11.6 to +27.8) percentage points, the indicator carrying an odds ratio of 3.73 (1.67–8.33). Moving the era boundary from 2019 to 2022 left the examination-type odds ratio between 3.44 and 4.31, while the era odds ratio ranged from 2.67 to 1.14 (Supplement 2). The era-by-booking interaction was not significant, giving no evidence that the effect of examination type itself changed between eras, although these subgroups are small. The change in booking tracked whirlpool reporting but not duodenal assessment. CT showed a comparable change that contrast enhancement explained only in part, and the UGI series showed none (Table 4).</w:t>
      </w:r>
    </w:p>
    <w:p>
      <w:pPr>
        <w:pStyle w:val="Heading2"/>
      </w:pPr>
      <w:r>
        <w:t>Selected subgroup and populations not represented</w:t>
      </w:r>
    </w:p>
    <w:p>
      <w:pPr>
        <w:spacing w:after="160" w:line="480" w:lineRule="auto"/>
      </w:pPr>
      <w:r>
        <w:t>Fifty-nine children underwent all three modalities. This subgroup, in whom the diagnosis remained uncertain, was more severely affected than the other 351 imaged children (volvulus 96.6% vs 86.6%; neonates 83.1% vs 65.5%). The UGI series was positive in 76.3%, ultrasound in 52.5% and CT in 45.8% (Cochran's Q p&lt;0.001; the UGI series exceeded CT by 30.5 percentage points, 95% CI +15.3 to +47.5, and ultrasound by 23.7, +8.5 to +39.0, while the CT–ultrasound difference was compatible with zero, −6.8, −20.3 to +6.8), and was unchanged within 48 h (Supplement 2). These comparisons describe reporting within one selected subgroup and are not measures of accuracy. Only 6 of the 62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13.5 years, routine ultrasound reports for children who proved to have intestinal malrotation rarely recorded the duodenal anatomy on which contemporary ultrasound accuracy depends: D3 or the duodenojejunal junction in three of 119 examinations, enteric fluid in two. The finding they did record was the whirlpool sign, present in about half of all examinations and of the children in whom operation confirmed volvulus. In this setting ultrasound functioned as an imperfect test for midgut volvulus.</w:t>
      </w:r>
    </w:p>
    <w:p>
      <w:pPr>
        <w:spacing w:after="160" w:line="480" w:lineRule="auto"/>
      </w:pPr>
      <w:r>
        <w:t>Malrotation was reported in 53.8% of the surgically confirmed children who underwent ultrasound, compared with 93% (original reports) and 97% (blinded review) in the 2025 multicenter series, which excluded non-diagnostic and equivocal examinations [13], and a pooled 94% in meta-analysis [11], both in children investigated for suspicion. These figures are not interchangeable: ours is conditioned on confirmed disease and on the indications that selected these children, so the difference combines case-mix with technique. The audit nonetheless shows the technical component to be real. The published figures derive from examinations that assessed D3, the most accurate single sign in the 2025 multicenter series [13], and the duodenojejunal junction, often with enteric fluid, in readers alert to the diagnosis [15–17], whereas ours almost never did. The 2021 systematic review likewise found better performance where enteric fluid was given before the examination [11].</w:t>
      </w:r>
    </w:p>
    <w:p>
      <w:pPr>
        <w:spacing w:after="160" w:line="480" w:lineRule="auto"/>
      </w:pPr>
      <w:r>
        <w:t>The temporal analysis is consistent with this interpretation without establishing it. Detection rose from 41% to 60%, and the change tracked what the examination was: adding the great-vessel indicator more than halved the era effect on the risk-difference scale, whereas the examination-type effect was stable at every boundary tested. The booking category was not randomized, and a child in whom volvulus is suspected is both more likely to be booked for a vessel study and more likely to have a whirlpool present, so indication and technique cannot be separated here. The adjusted marginal effect also has a wide interval that includes zero, so the analysis bounds the era contribution rather than removing it. The department's account is consistent: growing awareness from about 2021 attached to the whirlpool sign rather than to duodenal anatomy, so that the improvement also ran toward volvulus.</w:t>
      </w:r>
    </w:p>
    <w:p>
      <w:pPr>
        <w:spacing w:after="160" w:line="480" w:lineRule="auto"/>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the diagnosis, an incorporation bias asymmetrical between tests. Pathway position differed, the UGI series usually being the last preoperative test. The modalities were also used in different children for different reasons (Table 1), which no adjustment can undo.</w:t>
      </w:r>
    </w:p>
    <w:p>
      <w:pPr>
        <w:spacing w:after="160" w:line="480" w:lineRule="auto"/>
      </w:pPr>
      <w:r>
        <w:t>Departments adopting an ultrasound-first pathway on the basis of sensitivities of 93–97% should first establish that their examinations resemble those that produced them. Here detection rose over the period of reported growing awareness while the duodenal landmarks remained largely unexamined. A structured report requiring explicit statements on D3, the duodenojejunal junction and study adequacy would make this gap auditable. Where such an examination cannot be delivered, a negative ultrasound should not be taken to exclude malrotation.</w:t>
      </w:r>
    </w:p>
    <w:p>
      <w:pPr>
        <w:pStyle w:val="Heading2"/>
      </w:pPr>
      <w:r>
        <w:t>Limitations</w:t>
      </w:r>
    </w:p>
    <w:p>
      <w:pPr>
        <w:spacing w:after="160" w:line="480" w:lineRule="auto"/>
      </w:pPr>
      <w:r>
        <w:t>This is not a diagnostic accuracy study: detection among surgically confirmed children who underwent a test does not transfer to children investigated for suspicion [11, 13, 14]. The cohort contains only children who reached an operation, is weighted toward severe neonatal disease, and provides little information on older children with intermittent symptoms, incidental or non-volvulus malrotation, or stable outpatients. The 55 children without an index test were excluded from the denominators, an informative missingness. Excluding children whose operative record states a rotation below 360° changes prevalence from 86.7% to 82.6% without altering any conclusion (Supplement 2).</w:t>
      </w:r>
    </w:p>
    <w:p>
      <w:pPr>
        <w:spacing w:after="160" w:line="480" w:lineRule="auto"/>
      </w:pPr>
      <w:r>
        <w:t>Index tests were classified from report text rather than blinded image review, so the study measures reported detection rather than achievable image-based accuracy; a finding seen but not recorded and an inadequate examination reported as normal cannot be distinguished. This bounds the question rather than the answer, since the report is what clinicians act on. The certainty tiers were derived from the same text and, unlike the positive–negative label, were not separately adjudicated. The temporal analysis was not pre-specified, the examination-type variable having been identified after inspection of the data, and is best regarded as hypothesis-generating. Radiation dose could not be captured, and whether the deficit at this center generalizes is unknown.</w:t>
      </w:r>
    </w:p>
    <w:p>
      <w:pPr>
        <w:pStyle w:val="Heading1"/>
      </w:pPr>
      <w:r>
        <w:t>Take-Home Points</w:t>
      </w:r>
    </w:p>
    <w:p>
      <w:pPr>
        <w:spacing w:after="160" w:line="480" w:lineRule="auto"/>
      </w:pPr>
      <w:r>
        <w:t>• Routine ultrasound reports for children with surgically confirmed malrotation documented the duodenal landmarks underpinning published accuracy in 2.5% of examinations and reported the diagnosis almost only when a whirlpool sign was present.</w:t>
      </w:r>
    </w:p>
    <w:p>
      <w:pPr>
        <w:spacing w:after="160" w:line="480" w:lineRule="auto"/>
      </w:pPr>
      <w:r>
        <w:t>• In practice, routine ultrasound served as a test for volvulus rather than for malrotation: a whirlpool sign was recorded in only 58 of 113 children in whom operation confirmed volvulus.</w:t>
      </w:r>
    </w:p>
    <w:p>
      <w:pPr>
        <w:spacing w:after="160" w:line="480" w:lineRule="auto"/>
      </w:pPr>
      <w:r>
        <w:t>• These are report-level detection rates among surgically confirmed children, not sensitivities; they establish no specificity, predictive value or ranking of modalities, and are no argument against ultrasound-first pathways.</w:t>
      </w:r>
    </w:p>
    <w:p>
      <w:pPr>
        <w:spacing w:after="160" w:line="480" w:lineRule="auto"/>
      </w:pPr>
      <w:r>
        <w:t>• Before assuming that published ultrasound performance applies locally, departments should audit whether their own reports document the duodenal landmarks; a structured report would make the gap auditable.</w:t>
      </w:r>
    </w:p>
    <w:p>
      <w:pPr>
        <w:pStyle w:val="Heading1"/>
      </w:pPr>
      <w:r>
        <w:t>Supplemental Material</w:t>
      </w:r>
    </w:p>
    <w:p>
      <w:pPr>
        <w:spacing w:after="160" w:line="480" w:lineRule="auto"/>
      </w:pPr>
      <w:r>
        <w:rPr>
          <w:b/>
        </w:rPr>
        <w:t>Supplement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(`Supplement_1_classifier.py`), which reproduces 98.9%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line="480" w:lineRule="auto"/>
      </w:pPr>
      <w:r>
        <w:rPr>
          <w:b/>
        </w:rPr>
        <w:t>Supplement 3.</w:t>
      </w:r>
      <w:r>
        <w:t xml:space="preserve"> Content audit of the 320 CT and 301 upper gastrointestinal series index examinations, with detection conditional on documented content.</w:t>
      </w:r>
    </w:p>
    <w:p>
      <w:pPr>
        <w:pStyle w:val="Heading1"/>
      </w:pPr>
      <w:r>
        <w:t>Declarations</w:t>
      </w:r>
    </w:p>
    <w:p>
      <w:pPr>
        <w:spacing w:after="160" w:line="480" w:lineRule="auto"/>
      </w:pPr>
      <w:r>
        <w:rPr>
          <w:b/>
        </w:rPr>
        <w:t>Acknowledgments:</w:t>
      </w:r>
      <w:r>
        <w:t xml:space="preserve"> Provided on the separate title page.</w:t>
      </w:r>
    </w:p>
    <w:p>
      <w:pPr>
        <w:spacing w:after="160" w:line="480" w:lineRule="auto"/>
      </w:pPr>
      <w:r>
        <w:rPr>
          <w:b/>
        </w:rPr>
        <w:t>Funding:</w:t>
      </w:r>
      <w:r>
        <w:t xml:space="preserve"> Provided on the separate title page.</w:t>
      </w:r>
    </w:p>
    <w:p>
      <w:pPr>
        <w:spacing w:after="160" w:line="480" w:lineRule="auto"/>
      </w:pPr>
      <w:r>
        <w:rPr>
          <w:b/>
        </w:rPr>
        <w:t>Competing interests:</w:t>
      </w:r>
      <w:r>
        <w:t xml:space="preserve"> The authors declare that they have no competing interests.</w:t>
      </w:r>
    </w:p>
    <w:p>
      <w:pPr>
        <w:spacing w:after="160" w:line="480" w:lineRule="auto"/>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line="480" w:lineRule="auto"/>
      </w:pPr>
      <w:r>
        <w:rPr>
          <w:b/>
        </w:rPr>
        <w:t>Consent for publication:</w:t>
      </w:r>
      <w:r>
        <w:t xml:space="preserve"> Not applicable. This manuscript does not contain any individual person's data, images, or other identifiable material.</w:t>
      </w:r>
    </w:p>
    <w:p>
      <w:pPr>
        <w:spacing w:after="160" w:line="480" w:lineRule="auto"/>
      </w:pPr>
      <w:r>
        <w:rPr>
          <w:b/>
        </w:rPr>
        <w:t>Availability of data and materials:</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line="480" w:lineRule="auto"/>
      </w:pPr>
      <w:r>
        <w:rPr>
          <w:b/>
        </w:rPr>
        <w:t>Authors' contributions:</w:t>
      </w:r>
      <w:r>
        <w:t xml:space="preserve"> Provided on the separate title page.</w:t>
      </w:r>
    </w:p>
    <w:p>
      <w:pPr>
        <w:spacing w:after="160" w:line="480" w:lineRule="auto"/>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pStyle w:val="Heading1"/>
      </w:pPr>
      <w:r>
        <w:t>References</w:t>
      </w:r>
    </w:p>
    <w:p>
      <w:pPr>
        <w:spacing w:after="60" w:line="480" w:lineRule="auto"/>
      </w:pPr>
      <w:r>
        <w:rPr>
          <w:sz w:val="20"/>
        </w:rPr>
        <w:t xml:space="preserve">1. Marine MB, Karmazyn B. Imaging of malrotation in the neonate. </w:t>
      </w:r>
      <w:r>
        <w:rPr>
          <w:i/>
          <w:sz w:val="20"/>
        </w:rPr>
        <w:t>Semin Ultrasound CT MR</w:t>
      </w:r>
      <w:r>
        <w:rPr>
          <w:sz w:val="20"/>
        </w:rPr>
        <w:t>. 2014;35:555-570. doi:10.1053/j.sult.2014.08.004</w:t>
      </w:r>
    </w:p>
    <w:p>
      <w:pPr>
        <w:spacing w:after="60" w:line="480" w:lineRule="auto"/>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line="480" w:lineRule="auto"/>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line="480" w:lineRule="auto"/>
      </w:pPr>
      <w:r>
        <w:rPr>
          <w:sz w:val="20"/>
        </w:rPr>
        <w:t xml:space="preserve">4. Menghwani H, Piplani R, Yhoshu E, Jagdish B, Sree BS. Delayed presentation of malrotation: case series and literature review. </w:t>
      </w:r>
      <w:r>
        <w:rPr>
          <w:i/>
          <w:sz w:val="20"/>
        </w:rPr>
        <w:t>J Indian Assoc Pediatr Surg</w:t>
      </w:r>
      <w:r>
        <w:rPr>
          <w:sz w:val="20"/>
        </w:rPr>
        <w:t>. 2023;28:271-277. doi:10.4103/jiaps.jiaps_2_23</w:t>
      </w:r>
    </w:p>
    <w:p>
      <w:pPr>
        <w:spacing w:after="60" w:line="480" w:lineRule="auto"/>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line="480" w:lineRule="auto"/>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line="480" w:lineRule="auto"/>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line="480" w:lineRule="auto"/>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line="480" w:lineRule="auto"/>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line="480" w:lineRule="auto"/>
      </w:pPr>
      <w:r>
        <w:rPr>
          <w:sz w:val="20"/>
        </w:rPr>
        <w:t xml:space="preserve">10. Sodhi KS, Bhatia A, Saxena AK, Rao KLN, Menon P, Khandelwal N. Anticlockwise swirl of mesenteric vessels: a normal CT appearance, retrospective analysis of 200 pediatric patients. </w:t>
      </w:r>
      <w:r>
        <w:rPr>
          <w:i/>
          <w:sz w:val="20"/>
        </w:rPr>
        <w:t>Eur J Radiol</w:t>
      </w:r>
      <w:r>
        <w:rPr>
          <w:sz w:val="20"/>
        </w:rPr>
        <w:t>. 2014;83:710-714. doi:10.1016/j.ejrad.2013.12.026</w:t>
      </w:r>
    </w:p>
    <w:p>
      <w:pPr>
        <w:spacing w:after="60" w:line="480" w:lineRule="auto"/>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line="480" w:lineRule="auto"/>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line="480" w:lineRule="auto"/>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line="480" w:lineRule="auto"/>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line="480" w:lineRule="auto"/>
      </w:pPr>
      <w:r>
        <w:rPr>
          <w:sz w:val="20"/>
        </w:rPr>
        <w:t xml:space="preserve">15. McCurdie FK, Meshaka R, Leung G, Billington J, Watson TA. Ultrasound for infantile midgut malrotation: techniques, pearls, and pitfalls. </w:t>
      </w:r>
      <w:r>
        <w:rPr>
          <w:i/>
          <w:sz w:val="20"/>
        </w:rPr>
        <w:t>Pediatr Radiol</w:t>
      </w:r>
      <w:r>
        <w:rPr>
          <w:sz w:val="20"/>
        </w:rPr>
        <w:t>. 2024;54:2099-2111. doi:10.1007/s00247-024-06067-4</w:t>
      </w:r>
    </w:p>
    <w:p>
      <w:pPr>
        <w:spacing w:after="60" w:line="480" w:lineRule="auto"/>
      </w:pPr>
      <w:r>
        <w:rPr>
          <w:sz w:val="20"/>
        </w:rPr>
        <w:t xml:space="preserve">16. Menten R, Reding R, Godding V, Dumitriu DI, Clapuyt P.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line="480" w:lineRule="auto"/>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line="480" w:lineRule="auto"/>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line="480" w:lineRule="auto"/>
      </w:pPr>
      <w:r>
        <w:rPr>
          <w:sz w:val="20"/>
        </w:rPr>
        <w:t xml:space="preserve">19. von Elm E, Altman DG, Egger M, Pocock SJ, Gøtzsche PC, Vandenbroucke JP; STROBE Initiative.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line="480" w:lineRule="auto"/>
      </w:pPr>
      <w:r>
        <w:rPr>
          <w:sz w:val="20"/>
        </w:rPr>
        <w:t xml:space="preserve">20.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line="480" w:lineRule="auto"/>
      </w:pPr>
      <w:r>
        <w:rPr>
          <w:sz w:val="20"/>
        </w:rPr>
        <w:t xml:space="preserve">21.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line="480" w:lineRule="auto"/>
      </w:pPr>
      <w:r>
        <w:rPr>
          <w:sz w:val="20"/>
        </w:rPr>
        <w:t xml:space="preserve">22. Zeger SL, Liang KY. Longitudinal data analysis for discrete and continuous outcomes. </w:t>
      </w:r>
      <w:r>
        <w:rPr>
          <w:i/>
          <w:sz w:val="20"/>
        </w:rPr>
        <w:t>Biometrics</w:t>
      </w:r>
      <w:r>
        <w:rPr>
          <w:sz w:val="20"/>
        </w:rPr>
        <w:t>. 1986;42:121-130. doi:10.2307/2531248</w:t>
      </w:r>
    </w:p>
    <w:p>
      <w:pPr>
        <w:spacing w:after="60" w:line="480" w:lineRule="auto"/>
      </w:pPr>
      <w:r>
        <w:rPr>
          <w:sz w:val="20"/>
        </w:rPr>
        <w:t xml:space="preserve">23. Firth D. Bias reduction of maximum likelihood estimates. </w:t>
      </w:r>
      <w:r>
        <w:rPr>
          <w:i/>
          <w:sz w:val="20"/>
        </w:rPr>
        <w:t>Biometrika</w:t>
      </w:r>
      <w:r>
        <w:rPr>
          <w:sz w:val="20"/>
        </w:rPr>
        <w:t>. 1993;80:27-38. doi:10.1093/biomet/80.1.27</w:t>
      </w:r>
    </w:p>
    <w:p>
      <w:pPr>
        <w:spacing w:after="60" w:line="480" w:lineRule="auto"/>
      </w:pPr>
      <w:r>
        <w:rPr>
          <w:sz w:val="20"/>
        </w:rPr>
        <w:t xml:space="preserve">24. Heinze G, Schemper M. A solution to the problem of separation in logistic regression. </w:t>
      </w:r>
      <w:r>
        <w:rPr>
          <w:i/>
          <w:sz w:val="20"/>
        </w:rPr>
        <w:t>Stat Med</w:t>
      </w:r>
      <w:r>
        <w:rPr>
          <w:sz w:val="20"/>
        </w:rPr>
        <w:t>. 2002;21:2409-2419. doi:10.1002/sim.1047</w:t>
      </w:r>
    </w:p>
    <w:p>
      <w:r>
        <w:br w:type="page"/>
      </w:r>
    </w:p>
    <w:p>
      <w:pPr>
        <w:pStyle w:val="Heading1"/>
      </w:pPr>
      <w:r>
        <w:t>Figure Legends</w:t>
      </w:r>
    </w:p>
    <w:p>
      <w:pPr>
        <w:spacing w:after="160" w:line="480" w:lineRule="auto"/>
      </w:pPr>
      <w:r>
        <w:rPr>
          <w:b/>
        </w:rPr>
        <w:t>Figure 1. Study flow and the imaging received by children without an index test.</w:t>
      </w:r>
      <w:r>
        <w:t xml:space="preserve"> Retrieval of 559 operative records in 499 children, assembly of the surgically confirmed cohort, availability of each preoperative index test, and reduction of 812 eligible preoperative reports to 740 index examination episodes. Every one of the 55 children who received none of the three index examinations nonetheless had other preoperative imaging, five of them documented before transfer; the breakdown is shown at right.</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line="480" w:lineRule="auto"/>
      </w:pPr>
      <w:r>
        <w:rPr>
          <w:b/>
        </w:rPr>
        <w:t>Figure 3. Ultrasound examination content and detection conditional on that content.</w:t>
      </w:r>
      <w:r>
        <w:t xml:space="preserve"> A, Documented content of the 119 ultrasound index examinations. B,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6 of 61 examinations that named the diagnosis without one.</w:t>
      </w:r>
    </w:p>
    <w:p>
      <w:r>
        <w:br w:type="page"/>
      </w:r>
    </w:p>
    <w:p>
      <w:pPr>
        <w:keepNext/>
        <w:spacing w:after="160"/>
      </w:pPr>
      <w:r>
        <w:rPr>
          <w:b/>
        </w:rPr>
        <w:t>Table 1. Characteristics of the 465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320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 (7–85)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(8–35)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 (6–47)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 (5–27)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 (4–932)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302 (64.9)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216 (71.8)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222 (69.4)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90 (75.6)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23 (41.8)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93 (20.0)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45 (15.0)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54 (16.9)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 (12.6)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 (29.1)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352 (75.7)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226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250 (78.1)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94 (79.0)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39 (70.9)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166 (35.7)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96 (31.9)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105 (32.8)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80 (67.2)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19 (34.5)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403 (86.7)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268 (89.0)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281 (87.8)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113 (95.0)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42 (76.4)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441 (94.8)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288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308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113 (95.0)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50 (90.9)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219 (47.1)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166 (55.1)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165 (51.6)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58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(21.8)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183 (39.4)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119 (39.5)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137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57 (47.9)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24 (43.6)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113 (24.3)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64 (21.3)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88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32 (26.9)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 (20.0)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72 (15.5)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33 (11.0)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 (14.4)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 (23.6)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Recurrent/intermittent symptoms,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221 (47.5)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152 (50.5)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148 (46.2)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53 (44.5)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 (38.2)</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 (2.5)</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(Figure 1).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test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Positive/total</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rate,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Definite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Probable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Possible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excluding possible wording, %</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237/301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78.7 (73.8–83.0)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78 (32.9)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76 (32.1)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83 (35.0)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51.2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(all)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169/320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52.8 (47.3–58.2)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33 (19.5)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74 (43.8)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62 (36.7)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64/119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53.8 (44.8–62.5)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 (23.4)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 (26.6)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32 (50.0)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26.9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 xml:space="preserve">  CT, contrast-enhanced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42/52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80.8 (68.1–89.2)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 xml:space="preserve">  CT, unenhanced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127/268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47.4 (41.5–53.4)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r>
        <w:br w:type="page"/>
      </w:r>
    </w:p>
    <w:p>
      <w:pPr>
        <w:keepNext/>
        <w:spacing w:after="160"/>
      </w:pPr>
      <w:r>
        <w:rPr>
          <w:b/>
        </w:rPr>
        <w:t>Table 3. Documented content of the 119 routine gastrointestinal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n (%) of 119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2012–2018 (n=39)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2019–2026 (n=80)</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 (2.5)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62/116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 (5.9)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61/112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(10.1)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10/12 (83%)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54/107 (50%)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 (0.8)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63/118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63/117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 (2.5)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 (0.8)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63/118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60/114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116 (97.5)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63/116 (54%)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58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58/58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6/61 (10%)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 (25.2)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12/30 (40%)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52/89 (58%)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67 (56.3)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18/52 (35%)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75 (63.0)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37/75 (49%)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(10.1)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57/107 (53%)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9 (7.6)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63/110 (57%)</w:t>
            </w:r>
          </w:p>
        </w:tc>
      </w:tr>
    </w:tbl>
    <w:p>
      <w:pPr>
        <w:spacing w:after="160"/>
      </w:pPr>
      <w:r>
        <w:rPr>
          <w:i/>
          <w:sz w:val="17"/>
        </w:rPr>
        <w:t>The index unit is the examination episode closest to operation, pooling all reports of that modality issued that day. Content was coded from the findings and conclusion text by pre-specified patterns (Supplement 1). This is an audit of what was recorded and is a lower bound on what was performed: an element assessed but not documented cannot be distinguished from one never assessed. Technique elements count as documented whether the finding was normal or abnormal; the whirlpool sign counts only where it is not negated, and agrees with the separately adjudicated whirlpool variable in 118 of 119 examinations. Enteric fluid administration counts only examinations stating that fluid was given (oral contrast or nasogastric instillation); observed luminal fluid without a stated route was not counted. Booking categories are not mutually exclusive: 28 sessions were booked as both a gastrointestinal and a great-vessel study. Denominators of fewer than 10 are shown without a percentage.</w:t>
      </w:r>
    </w:p>
    <w:p>
      <w:r>
        <w:br w:type="page"/>
      </w:r>
    </w:p>
    <w:p>
      <w:pPr>
        <w:keepNext/>
        <w:spacing w:after="160"/>
      </w:pPr>
      <w:r>
        <w:rPr>
          <w:b/>
        </w:rPr>
        <w:t>Table 4. Change in report-level detection between eras, and the examination-content variables associated with 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after adjustment for examination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Examination-content variable,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Average marginal effect of later era, percentage points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158/205 (77.1%)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79/96 (82.3%)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1.38 (0.75–2.56), p=0.304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 (technique unchanged)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69/105 (65.7%)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2.20 (1.36–3.58), p=0.001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1.95 (1.19–3.22), p=0.009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Intravenous contrast enhancement 4.21 (2.01–8.81), p&lt;0.001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+19.2 → +15.5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Gastrointestinal 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16/39 (41.0%)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48/80 (60.0%)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2.16 (0.99–4.70), p=0.053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1.44 (0.62–3.37), p=0.399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Session included a great-vessel study 3.73 (1.67–8.33), p=0.001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+19.0 → +8.2</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randomized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Supplement 2.</w:t>
      </w:r>
    </w:p>
    <w:p>
      <w:r>
        <w:br w:type="page"/>
      </w:r>
    </w:p>
    <w:p>
      <w:pPr>
        <w:keepNext/>
        <w:spacing w:after="160"/>
      </w:pPr>
      <w:r>
        <w:rPr>
          <w:b/>
        </w:rPr>
        <w:t>Figure 1</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r>
        <w:br w:type="page"/>
      </w:r>
    </w:p>
    <w:p>
      <w:pPr>
        <w:keepNext/>
        <w:spacing w:after="160"/>
      </w:pPr>
      <w:r>
        <w:rPr>
          <w:b/>
        </w:rPr>
        <w:t>Figure 2</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r>
        <w:br w:type="page"/>
      </w:r>
    </w:p>
    <w:p>
      <w:pPr>
        <w:keepNext/>
        <w:spacing w:after="160"/>
      </w:pPr>
      <w:r>
        <w:rPr>
          <w:b/>
        </w:rPr>
        <w:t>Figure 3</w:t>
      </w:r>
    </w:p>
    <w:p>
      <w:pPr>
        <w:jc w:val="center"/>
      </w:pPr>
      <w:r>
        <w:drawing>
          <wp:inline xmlns:a="http://schemas.openxmlformats.org/drawingml/2006/main" xmlns:pic="http://schemas.openxmlformats.org/drawingml/2006/picture">
            <wp:extent cx="5943600" cy="2272895"/>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5943600" cy="2272895"/>
                    </a:xfrm>
                    <a:prstGeom prst="rect"/>
                  </pic:spPr>
                </pic:pic>
              </a:graphicData>
            </a:graphic>
          </wp:inline>
        </w:drawing>
      </w:r>
    </w:p>
    <w:sectPr w:rsidR="00FC693F" w:rsidRPr="0006063C" w:rsidSect="00034616">
      <w:footerReference w:type="default" r:id="rId12"/>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