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('audit');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Abstract (Objective, Methods, Results, Discussion);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(consecutive children with an operative diagnosis of malrotation; institutional clinical and surgical records database)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'Report-content audit and classification'; Supplement 1, Sections A–J</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(the 55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and 'Report-content audit and classification' (reclassification of possible-tier conclusions; paired analysis restricted to 48 h and 24 h);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(the 55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'Detection and certainty of wording' (unadjusted and adjusted GEE odds ratios); Supplement 2, Table S3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Supplement 2, Table S5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paragraphs 1–3;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paragraphs 2–5; Take-Home Points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'Selected subgroup and populations not represented'; Discussion, Limitations (single center; skew toward severe neonatal disease)</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Declarations, Funding (and title page)</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