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1. Text-classification algorithm and report-content audit</w:t>
      </w:r>
    </w:p>
    <w:p>
      <w:pPr>
        <w:spacing w:after="160"/>
      </w:pPr>
      <w:r>
        <w:t>Supplement to: "Routine Ultrasound Reports for Pediatric Intestinal Malrotation Rarely Document Duodenal Landmarks: A Single-Center Audit"</w:t>
      </w:r>
    </w:p>
    <w:p>
      <w:pPr>
        <w:spacing w:after="160"/>
      </w:pPr>
      <w:r>
        <w:t>Sections A–F specify the classification rules. Section J reports a reference implementation of those rules as a runnable script, together with its agreement with the final adjudicated labels, so that the specification below can be executed rather than only read.</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The two operations are independent: content coding never influenced the positive/negative label, and vice versa. Labels were subsequently adjudicated by a blinded pediatric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(检查所见 / 超声检查所见) and a conclusion section (检查结论 / 超声检查结论).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five reports were changed to positive because a malrotation sign appeared in the findings section without being carried into the conclusion (Section G). The final outcome is therefore "positive under the study definition after adjudication", not "positive conclusion", and the two differ in those five reports.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canceled as a negation; a hedged cue is read in the twelve characters before the term or, up to the next punctuation, after it. Reports with no matching clause were labeled negative. Technically non-diagnostic studies were not coded separately as indeterminate and were labeled by their stated conclusion.</w:t>
      </w:r>
    </w:p>
    <w:p>
      <w:pPr>
        <w:pStyle w:val="Heading1"/>
      </w:pPr>
      <w:r>
        <w:t>G. Validation and adjudication</w:t>
      </w:r>
    </w:p>
    <w:p>
      <w:pPr>
        <w:spacing w:after="160"/>
      </w:pPr>
      <w:r>
        <w:t>A pediatric surgeon blinded to the operative findings adjudicated 32 reports in two independent samples, and later re-read a further nine flagged by a screen of the whole dataset.</w:t>
      </w:r>
    </w:p>
    <w:p>
      <w:pPr>
        <w:spacing w:after="160"/>
      </w:pPr>
      <w:r>
        <w:rPr>
          <w:b/>
        </w:rPr>
        <w:t>Sample 1 (validation).</w:t>
      </w:r>
      <w:r>
        <w:t xml:space="preserve"> A stratified random sample of 24 reports with positive and negative machine labels balanced across the three modalities. Agreement 22/24 (92%); Cohen kappa 0.83; per-modality agreement 88% (UGI), 88% (CT) and 100% (ultrasound). These are the only figures used to characterize algorithm performance.</w:t>
      </w:r>
    </w:p>
    <w:p>
      <w:pPr>
        <w:spacing w:after="160"/>
      </w:pPr>
      <w:r>
        <w:rPr>
          <w:b/>
        </w:rPr>
        <w:t>Sample 2 (targeted).</w:t>
      </w:r>
      <w:r>
        <w:t xml:space="preserve"> The 8 reports in which a malrotation sign appeared in the findings section while the machine label was negative. Five were confirmed as machine under-calls and corrected. Because this sample was selected on suspected discordance, it is </w:t>
      </w:r>
      <w:r>
        <w:rPr>
          <w:b/>
        </w:rPr>
        <w:t>excluded</w:t>
      </w:r>
      <w:r>
        <w:t xml:space="preserve"> from the agreement statistics above; including it would bias them.</w:t>
      </w:r>
    </w:p>
    <w:p>
      <w:pPr>
        <w:spacing w:after="160"/>
      </w:pPr>
      <w:r>
        <w:rPr>
          <w:b/>
        </w:rPr>
        <w:t>Sample 3 (two-directional screen of all 740 index units).</w:t>
      </w:r>
      <w:r>
        <w:t xml:space="preserve"> Both earlier samples could only produce under-calls: one was small and the other was selected on suspected under-call. Every index unit was therefore screened in both directions — positive units whose pooled text matched no term naming malrotation or volvulus and no modality-specific sign pattern, and negative units whose text did name the diagnosis. The screen returned nine units of the first kind and none of the second. All nine were read against the source reports by the same clinician.</w:t>
      </w:r>
    </w:p>
    <w:p>
      <w:pPr>
        <w:spacing w:after="160"/>
      </w:pPr>
      <w:r>
        <w:t>Three were over-calls and were corrected to negative: two CT units whose reports concern unrelated findings (a quadrate-lobe hemangioma with mild hepatomegaly; colonic distension with an appendicolith and rectal wall thickening), and one bedside ultrasound of liver, spleen, left renal vein and pylorus in a child whose diagnosis was made by the upper gastrointestinal series. The corrections, with their reasons, are listed in `label_corrections.csv` and applied to the analysis matrix by `core.py`; the raw data export is unaltered.</w:t>
      </w:r>
    </w:p>
    <w:p>
      <w:pPr>
        <w:spacing w:after="160"/>
      </w:pPr>
      <w:r>
        <w:t>The other six were confirmed as correct and illustrate why a conclusion-only pattern match is not the label. Four describe the finding morphologically without naming it: bowel encircling the mesenteric vessels in a ring-like arrangement, mesenteric vessels of disordered course wrapped by swollen mesentery, an obstructive lesion of the distal duodenum with clustered mid-abdominal bowel, and jejunum lying to the right of the midline. One is a conclusion consisting only of a cross-reference to a report that is absent from the data export, so its text could not be re-read and the label was left as it stood. In one child the index ultrasound episode is negative while an examination 2.4 days earlier recorded a whirlpool; the label reflects the earlier episode, so for this one ultrasound unit the label and the index-episode text disagree.</w:t>
      </w:r>
    </w:p>
    <w:p>
      <w:pPr>
        <w:spacing w:after="160"/>
      </w:pPr>
      <w:r>
        <w:rPr>
          <w:b/>
        </w:rPr>
        <w:t>Direction of error.</w:t>
      </w:r>
      <w:r>
        <w:t xml:space="preserve"> All 7 discordances in the first two samples were algorithmic under-calls and were corrected; the third screen found 3 over-calls, which were also corrected. Ten corrections were therefore made in all, 7 in one direction and 3 in the other. The third screen covers every index unit, but only through text patterns: it can find a positive label that no pattern supports and a negative label whose text names the diagnosis, and it cannot find a report whose wording is ambiguous in neither of those ways. Residual misclassification is therefore bounded rather than excluded, and the analyses were not repeated under alternative label assumptions.</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(`classifier.py`, deposited with this Supplement)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The comparison is made by `classifier_agreement.py`, which applies the script to the pooled conclusion of each of the 740 index examination episodes — the same index unit the analysis uses — and compares the result with the final labels (the algorithmic labels after adjudication). The reference implementation agreed on 732 of 740 (98.9%): 298 of 301 (99.0%) for the UGI series, 316 of 320 (98.8%) for CT and 118 of 119 (99.2%) for ultrasound. All eight disagreements were reference-implementation under-calls; there was no over-call.</w:t>
      </w:r>
    </w:p>
    <w:p>
      <w:pPr>
        <w:spacing w:after="160"/>
      </w:pPr>
      <w:r>
        <w:t>These 8 disagreements are not the same set as the 10 corrections made by the adjudicator in Section G, and the two counts should not be equated. The 10 are the corrections made after human review; the 8 are the index units where the published code and the final label differ, across all 740. Only some of the 8 were among the reports reviewed in Samples 1 and 2; the analysis dataset retains the final labels only, without a per-report record of which reports were adjudicated or of their pre-adjudication labels, so the overlap cannot be reconstructed here.</w:t>
      </w:r>
    </w:p>
    <w:p>
      <w:pPr>
        <w:spacing w:after="160"/>
      </w:pPr>
      <w:r>
        <w:t>The 8 share the failure modes listed in Section G: the diagnosis stated in the findings section but not carried into the conclusion; a conclusion consisting only of a cross-reference to another report; and a diagnostic sign described morphologically without the diagnosis being named. That all 8 are under-calls shows that a conclusion-only rule set of this kind loses reports rather than inventing them,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eight units above, so tier counts differ by small numbers.</w:t>
      </w:r>
    </w:p>
    <w:p>
      <w:pPr>
        <w:pStyle w:val="Heading1"/>
      </w:pPr>
      <w:r>
        <w:t>G2. Cohort retrieval strings</w:t>
      </w:r>
    </w:p>
    <w:p>
      <w:pPr>
        <w:spacing w:after="160"/>
      </w:pPr>
      <w:r>
        <w:t>Children were retrieved from the institutional surgical records database by matching, case-insensitively, the operative diagnosis field (术中诊断) against `肠旋转不良` or the procedure-name field (手术名称) against `Ladd`. Applied to the 559 operative records of 499 children held for the study period, this returns 503 records in 465 children; every retrieved record was read before inclusion.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color Doppler, cecal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Element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Regular expression (source text)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Third portion of duodenum (D3)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十二指肠水平部|十二指肠水平段|十二指肠横部|十二指肠第三段|(?&lt;![弓])横部|水平部</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十二指肠空肠曲|屈氏|Treitz|十二指肠悬韧带|十二指肠[-—与和]?空肠交界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Duodenum mentioned in any form</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十二指肠</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 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Explicit vessel inversion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(?:静脉|动脉)[^。；\n]{0,10}(?:换位|反位|倒置|关系异常|异常关系)|静脉位于[^。；\n]{0,8}左|动脉位于[^。；\n]{0,8}右</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Whirlpool / swirl / spiral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All</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漩涡|旋涡|涡流|螺旋; counted only where no negation (未见|未探及|未显示|未发现|无明显|不明显|未闻) occurs in the 12 characters preceding the match within the same clause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Enteric fluid administered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饮水|口服[^。；\n]{0,6}(?:水|液|造影剂)|注水|注入|胃内注|温开水|经胃管</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Dynamic (real-time) assessment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动态|实时观察|连续观察</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Graded compression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加压|探头压|压迫探查</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Color Doppler used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CDFI|彩色多普勒|多普勒</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Bowel gas explicitly limiting the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clause containing both (肠气|积气|气体干扰|气体遮挡|气体遮盖|气体较多|气强反射|充满气体) and (干扰|遮挡|遮盖|显示不清|显示欠清|探及?不满意|不满意)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Cecal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 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回盲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Bedside examination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床旁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Examination type: great-vessel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腹部大血管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Examination type: 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胃肠道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Contrast enhancement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增强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Three-dimensional reconstruction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三维重建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空肠曲|屈氏|Treitz|悬韧带|十二指肠[-—与和]?空肠交界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Corkscrew / spring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弹簧|螺旋|绞索|盘曲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Jejunal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空肠.{0,10}(位于|居|偏)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Whole-gastrointestinal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全消化道 (in the examination name)</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Barium contrast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the whirlpool text variable agrees with the separately adjudicated whirlpool variable in 118 of the 119 ultrasound examinations; the single disagreement is a child whose whirlpool was documented on an ultrasound performed on a different day from the index episode.</w:t>
      </w:r>
    </w:p>
    <w:p>
      <w:pPr>
        <w:pStyle w:val="Heading1"/>
      </w:pPr>
      <w:r>
        <w:t>I. Distribution of labels by modality</w:t>
      </w:r>
    </w:p>
    <w:p>
      <w:pPr>
        <w:spacing w:after="160"/>
      </w:pPr>
      <w:r>
        <w:rPr>
          <w:b/>
        </w:rPr>
        <w:t>Table S2. Distribution of algorithmic labels and certainty tiers, by modality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reports</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Classified positive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Classified negative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 with definite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 with probable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 with possible wording</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237 (78.7%)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64 (21.3%)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83</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169 (52.8%)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151 (47.2%)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64 (53.8%)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55 (46.2%)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32</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All three</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740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470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270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126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167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177</w:t>
            </w:r>
          </w:p>
        </w:tc>
      </w:tr>
    </w:tbl>
    <w:p>
      <w:pPr>
        <w:spacing w:after="16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