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2. Between-modality models, the selected paired subgroup, and detection stratified by volvulus and age</w:t>
      </w:r>
    </w:p>
    <w:p>
      <w:pPr>
        <w:spacing w:after="160"/>
      </w:pPr>
      <w:r>
        <w:t>Supplement to: "Routine Ultrasound Reports for Pediatric Intestinal Malrotation Rarely Document Duodenal Landmarks: A Single-Center Audit"</w:t>
      </w:r>
    </w:p>
    <w:p>
      <w:pPr>
        <w:pStyle w:val="Heading1"/>
      </w:pPr>
      <w:r>
        <w:t>S2.1 Between-modality comparison (generalized estimating equation)</w:t>
      </w:r>
    </w:p>
    <w:p>
      <w:pPr>
        <w:spacing w:after="160"/>
      </w:pPr>
      <w:r>
        <w:rPr>
          <w:b/>
        </w:rPr>
        <w:t>Table S3. Between-modality comparison of report-level detection (generalized estimating equation)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Effect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Unadjusted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 (adjusted)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0.30 (0.22–0.42)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0.29 (0.20–0.40)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&lt;0.001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0.32 (0.21–0.48)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0.26 (0.17–0.42)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&lt;0.001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Operated 2019–2026 vs 2012–2018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1.75 (1.18–2.62)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0.006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29 days–1 year vs neonate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1.05 (0.67–1.65)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0.822</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Age &gt;1 year vs neonate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3.02 (1.64–5.54)</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&lt;0.001</w:t>
            </w:r>
          </w:p>
        </w:tc>
      </w:tr>
    </w:tbl>
    <w:p>
      <w:pPr>
        <w:spacing w:after="160"/>
      </w:pPr>
    </w:p>
    <w:p>
      <w:pPr>
        <w:spacing w:after="160"/>
      </w:pPr>
      <w:r>
        <w:t xml:space="preserve">GEE logistic model with exchangeable working correlation and patient-level clustering (cluster-robust standard errors); 410 children, 740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The pre-specified modality-by-volvulus interaction could not be estimated across all three modalities. No ultrasound examination was positive among the six children without volvulus, so the model exhibits complete separation and does not converge; any p value from such a fit is uninterpretable and none is reported. For the estimable UGI-versus-CT comparison the interaction OR was 0.99 (95% CI 0.36–2.70, p=0.98), that is, the CT-versus-UGI difference did not vary with volvulus.</w:t>
      </w:r>
    </w:p>
    <w:p>
      <w:pPr>
        <w:pStyle w:val="Heading1"/>
      </w:pPr>
      <w:r>
        <w:t>S2.2 The selected subgroup receiving all three examinations</w:t>
      </w:r>
    </w:p>
    <w:p>
      <w:pPr>
        <w:spacing w:after="160"/>
      </w:pPr>
      <w:r>
        <w:rPr>
          <w:b/>
        </w:rPr>
        <w:t>Table S4. Report-level detection in the selected subgroup receiving all three examinations, overall and restricted to examinations performed close together in time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(n=59)</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three within 48 h (n=47)</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three within 24 h (n=31)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45/59 (76.3; 64.0–85.3)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39/47 (83.0; 69.9–91.1)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27/31 (87.1; 71.1–94.9)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27/59 (45.8; 33.7–58.3)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23/47 (48.9; 35.3–62.8)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16/31 (51.6; 34.8–68.0)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whirlpool sign,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30/59 (50.8; 38.4–63.2)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27/47 (57.4; 43.3–70.5)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19/31 (61.3; 43.8–76.3)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Cochran's Q, 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&lt;0.001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&lt;0.001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0.002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Exact McNemar UGI vs CT: discordant pairs, 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24/6, p=0.001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20/4, p=0.002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12/1, p=0.003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Exact McNemar UGI vs US: discordant pairs, 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20/6, p=0.009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14/3, p=0.013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8/1, p=0.039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Exact McNemar CT vs US: discordant pairs, p</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7/11, p=0.481</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4/9, p=0.267</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2/6, p=0.289</w:t>
            </w:r>
          </w:p>
        </w:tc>
      </w:tr>
    </w:tbl>
    <w:p>
      <w:pPr>
        <w:spacing w:after="160"/>
      </w:pPr>
    </w:p>
    <w:p>
      <w:pPr>
        <w:spacing w:after="160"/>
      </w:pPr>
      <w:r>
        <w:t xml:space="preserve">This subgroup was assembled by diagnostic uncertainty, not by sampling: 96.6% had midgut volvulus, 83.1% were neonates and 62.7% were operated on in 2019–2026, compared with 86.6%, 65.5% and 31.3% of the other 351 imaged children. It describes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although no timing restriction can undo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630027"/>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10"/>
                    <a:stretch>
                      <a:fillRect/>
                    </a:stretch>
                  </pic:blipFill>
                  <pic:spPr>
                    <a:xfrm>
                      <a:off x="0" y="0"/>
                      <a:ext cx="5669280" cy="2630027"/>
                    </a:xfrm>
                    <a:prstGeom prst="rect"/>
                  </pic:spPr>
                </pic:pic>
              </a:graphicData>
            </a:graphic>
          </wp:inline>
        </w:drawing>
      </w:r>
    </w:p>
    <w:p>
      <w:pPr>
        <w:spacing w:after="160"/>
      </w:pPr>
      <w:r>
        <w:rPr>
          <w:b/>
        </w:rPr>
        <w:t>Figure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S5. Report-level detection stratified by midgut volvulus and by age category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test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Stratum</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Detected / total</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rate % (95% CI)</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212/268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79.1 (73.8–83.5)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25/33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75.8 (59.0–87.2)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164/216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75.9 (69.8–81.1)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32/40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80.0 (65.2–89.5)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41/45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91.1 (79.3–96.5)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148/281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52.7 (46.8–58.4)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21/39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53.8 (38.6–68.4)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103/222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46.4 (40.0–53.0)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21/44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47.7 (33.8–62.1)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45/54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83.3 (71.3–91.0)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64/113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56.6 (47.4–65.4)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0.0 (0.0–39.0)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50/90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55.6 (45.3–65.4)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7/14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50.0 (26.8–73.2)</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Age &gt;1 year</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7/15</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46.7 (24.8–69.9)</w:t>
            </w:r>
          </w:p>
        </w:tc>
      </w:tr>
    </w:tbl>
    <w:p>
      <w:pPr>
        <w:spacing w:after="160"/>
      </w:pPr>
    </w:p>
    <w:p>
      <w:pPr>
        <w:spacing w:after="160"/>
      </w:pPr>
      <w:r>
        <w:t>Wilson 95% confidence intervals. All strata are computed among children with surgically confirmed malrotation who received that index test, and are not sensitivities. Note the ultrasound / volvulus-absent cell (0 of 6): ultrasound was performed in only 6 of the 62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S6. Detection of a volvulus-specific sign among children with surgically confirmed midgut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test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Volvulus-specific sign / children with confirmed midgut volvulus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Rate % (95% CI)</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129/268</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48.1 (42.2–54.1)</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58/113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51.3 (42.2–60.3)</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Abdominal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104/281</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37.0 (31.6–42.8)</w:t>
            </w:r>
          </w:p>
        </w:tc>
      </w:tr>
    </w:tbl>
    <w:p>
      <w:pPr>
        <w:spacing w:after="160"/>
      </w:pPr>
    </w:p>
    <w:p>
      <w:pPr>
        <w:spacing w:after="160"/>
      </w:pPr>
      <w:r>
        <w:t>The sign is modality-specific and uses the same negation-aware rules as the main content audit: a whirlpool or spiral appearance for ultrasound and CT, a corkscrew or spring appearance for the upper gastrointestinal series. The rates are therefore identical in definition to the whirlpool figure quoted in the manuscript (58 of 113). Ultrasound and the UGI series reported such a sign at similar rates and both more often than CT, but the comparison is between different children and is not adjusted; it is reported as exploratory and no claim of a difference between modalities is made. An earlier version of this table applied one pooled sign pattern across all three modalities without negation handling, giving 59/113 for ultrasound; the harmonized rule used here is the one implemented in `Supplement_1_classifier.py` and in the audit script.</w:t>
      </w:r>
    </w:p>
    <w:p>
      <w:pPr>
        <w:spacing w:after="160"/>
      </w:pPr>
      <w:r>
        <w:t>The finding that survives this sensitivity analysis is directional rather than comparative. Within ultrasound, the whirlpool sign was both the dominant documented finding and the near-exclusive determinant of a positive report (main manuscript, Table 3), consistent with its being a sign of volvulus rather than of malrotation.</w:t>
      </w:r>
    </w:p>
    <w:p>
      <w:pPr>
        <w:pStyle w:val="Heading1"/>
      </w:pPr>
      <w:r>
        <w:t>S2.5 Sensitivity to the three principal analytic choices</w:t>
      </w:r>
    </w:p>
    <w:p>
      <w:pPr>
        <w:spacing w:after="160"/>
      </w:pPr>
      <w:r>
        <w:rPr>
          <w:b/>
        </w:rPr>
        <w:t>The era boundary.</w:t>
      </w:r>
      <w:r>
        <w:t xml:space="preserve"> The primary analysis splits the study period at 2019, but the department attributes the change in practice to growing awareness from about 2021. Table S8 repeats the ultrasound model with the boundary at 2019, 2020, 2021 and 2022. The crude era effect is unstable across boundaries, reaching conventional significance only with the boundary at 2020 and falling short of it at 2019, 2021 and 2022; the examination-type effect is stable throughout (odds ratio 3.44–4.31, all p≤0.003) and the adjusted era term is non-significant at every boundary. The temporal claim in the manuscript therefore does not depend on where the boundary is placed, and the crude era difference alone does not survive a boundary chosen to match the department's own account.</w:t>
      </w:r>
    </w:p>
    <w:p>
      <w:pPr>
        <w:spacing w:after="160"/>
      </w:pPr>
      <w:r>
        <w:rPr>
          <w:b/>
        </w:rPr>
        <w:t>Table S8. Ultrasound temporal model with the era boundary placed at 2019, 2020, 2021 and 2022</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boundary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Examinations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 adjusted for examination type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Examination-type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Average marginal effect of later era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2019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39 / 80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16/39 (41.0%) / 48/80 (60.0%)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2.16 (0.99–4.70), p=0.053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1.44 (0.62–3.37), p=0.399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3.73 (1.67–8.33), p=0.001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+19.0 → +8.2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2020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44 / 75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17/44 (38.6%) / 47/75 (62.7%)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2.67 (1.24–5.74), p=0.012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1.74 (0.75–4.04), p=0.193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3.44 (1.52–7.77), p=0.003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+24.0 → +12.6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2021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62 / 57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29/62 (46.8%) / 35/57 (61.4%)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1.81 (0.87–3.76), p=0.111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1.18 (0.53–2.65), p=0.686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3.92 (1.74–8.82), p&lt;0.001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+14.6 → +3.7 pp</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2022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76 / 43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40/76 (52.6%) / 24/43 (55.8%)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1.14 (0.54–2.41), p=0.738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0.83 (0.36–1.88), p=0.648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4.31 (1.95–9.52), p&lt;0.001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+3.2 → -4.2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the examination-type variable accounts for about half of the era difference at the 2019 and 2020 boundaries and for most of it at 2021 and 2022.</w:t>
      </w:r>
    </w:p>
    <w:p>
      <w:pPr>
        <w:spacing w:after="160"/>
      </w:pPr>
      <w:r>
        <w:rPr>
          <w:b/>
        </w:rPr>
        <w:t>The index unit.</w:t>
      </w:r>
      <w:r>
        <w:t xml:space="preserve"> The primary analysis takes the examination episode closest to operation. Table S9 repeats the ultrasound content audit taking the earliest preoperative episode instead. No conclusion changes: the duodenal landmarks remain documented in three of 119 examinations either way.</w:t>
      </w:r>
    </w:p>
    <w:p>
      <w:pPr>
        <w:spacing w:after="160"/>
      </w:pPr>
      <w:r>
        <w:rPr>
          <w:b/>
        </w:rPr>
        <w:t>Table S9. Ultrasound content audit taking the earliest rather than the closest preoperative examination episode as the index unit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Documented content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Closest preoperative episode (primary)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Earliest preoperative episode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D3 or 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3/119 (2.5%)</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3/119 (2.5%)</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12/119 (10.1%)</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12/119 (10.1%)</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Enteric fluid administration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2/119 (1.7%)</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1/119 (0.8%)</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Whirlpool, swirl or spiral appearance reported</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58/119 (48.7%)</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56/119 (47.1%)</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403 children with volvulus, 327 had a stated degree (308 of at least 360° and 19 of 90–270°) and 76 had a torsion statement with no angle recorded. Table S10 tightens the definition in two ways: excluding only the 19 children whose record states a rotation below 360°, and additionally requiring a stated degree, which also excludes the 76 with no angle recorded. The second is not simply stricter, since it removes children for incomplete operative documentation rather than for a lesser degree of torsion; both are therefore shown.</w:t>
      </w:r>
    </w:p>
    <w:p>
      <w:pPr>
        <w:spacing w:after="160"/>
      </w:pPr>
      <w:r>
        <w:rPr>
          <w:b/>
        </w:rPr>
        <w:t>Table S10. Prevalence of midgut volvulus, and the whirlpool sign among those children, under three definitions of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Definition of midgut volvulus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Whole cohort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Children who underwent ultrasound</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Whirlpool reported among those with volvulus</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Explicit operative statement of torsion, or any documented degree of rotation (primary)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403/465 (86.7%)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113/119 (95.0%)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58/113 (51.3%)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Excluding children whose record states a rotation below 360°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384/465 (82.6%)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104/119 (87.4%)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54/104 (51.9%)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Requiring a documented rotation of 360° or more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308/465 (66.2%)</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89/119 (74.8%)</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50/89 (56.2%)</w:t>
            </w:r>
          </w:p>
        </w:tc>
      </w:tr>
    </w:tbl>
    <w:p>
      <w:pPr>
        <w:spacing w:after="160"/>
      </w:pPr>
    </w:p>
    <w:p>
      <w:pPr>
        <w:spacing w:after="160"/>
      </w:pPr>
      <w:r>
        <w:t>Excluding the 19 children with a rotation below 360° lowers volvulus prevalence from 86.7% to 82.6% in the cohort and from 95.0% to 87.4% among the children who underwent ultrasound; additionally requiring a stated degree lowers it to 66.2% and 74.8%. Neither changes the manuscript's claims. The whirlpool sign remains documented in about half of the children with confirmed volvulus under all three definitions (51.3%, 51.9% and 56.2%), so the finding that ultrasound recorded a whirlpool in only about half of the children whose operation confirmed volvulus does not depend on where the definition is drawn. The group with malrotation but no volvulus remains too small under any definition for a conclusion about ultrasound in uncomplicated malrotation.</w:t>
      </w:r>
    </w:p>
    <w:p>
      <w:pPr>
        <w:pStyle w:val="Heading1"/>
      </w:pPr>
      <w:r>
        <w:t>S2.6 Analyses added in response to statistical review</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S11 gives those marginal effects with percentile bootstrap 95% confidence intervals (2,000 resamples of children, seed fixed). For ultrasound, the crude effect excludes zero only just, its lower bound falling at +0.6 percentage points, and the adjusted effect does not exclude zero; the two intervals overlap heavily, so the analysis shows that examination type accounts for more than half the era difference, not that the remainder is absent.</w:t>
      </w:r>
    </w:p>
    <w:p>
      <w:pPr>
        <w:spacing w:after="160"/>
      </w:pPr>
      <w:r>
        <w:rPr>
          <w:b/>
        </w:rPr>
        <w:t>Table S11. Average marginal effect of later era, with bootstrap confidence intervals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4680"/>
        <w:gridCol w:w="4680"/>
      </w:tblGrid>
      <w:tr>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 and model</w:t>
            </w:r>
          </w:p>
        </w:tc>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Average marginal effect of later era, percentage points (95% CI)</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+19.0 (+0.6 to +37.6)</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adjusted for great-vessel session</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+8.2 (-11.6 to +27.8)</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CT,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+19.2 (+8.0 to +30.3)</w:t>
            </w:r>
          </w:p>
        </w:tc>
      </w:tr>
      <w:tr>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CT, adjusted for contrast enhancement</w:t>
            </w:r>
          </w:p>
        </w:tc>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+15.5 (+4.2 to +27.6)</w:t>
            </w:r>
          </w:p>
        </w:tc>
      </w:tr>
    </w:tbl>
    <w:p>
      <w:pPr>
        <w:spacing w:after="160"/>
      </w:pPr>
    </w:p>
    <w:p>
      <w:pPr>
        <w:spacing w:after="160"/>
      </w:pPr>
      <w:r>
        <w:rPr>
          <w:b/>
        </w:rPr>
        <w:t>Paired differences with confidence intervals.</w:t>
      </w:r>
      <w:r>
        <w:t xml:space="preserve"> Table S12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selected by diagnostic uncertainty, and are not differences in accuracy.</w:t>
      </w:r>
    </w:p>
    <w:p>
      <w:pPr>
        <w:spacing w:after="160"/>
      </w:pPr>
      <w:r>
        <w:rPr>
          <w:b/>
        </w:rPr>
        <w:t>Table S12. Paired differences in detection in the subgroup receiving all three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Comparison (n=59)</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Difference, percentage points (95% CI)</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Discordant pairs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Exact McNemar p</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UGI series vs CT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76.3% vs 45.8%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+30.5 (+15.3 to +47.5)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24/6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0.001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UGI series vs ultrasound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76.3% vs 52.5%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+23.7 (+8.5 to +39.0)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20/6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0.009</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CT vs ultrasound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45.8% vs 52.5%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-6.8 (-20.3 to +6.8)</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7/11</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0.481</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six children without volvulus. Two things can be estimated and are given in Table S13. First, the same interaction restricted to the upper gastrointestinal series and CT, where no separation occurs, shows no evidence of effect modification by volvulus. Second, a Firth penalized logistic model of ultrasound detection on volvulus returns a finite estimate. Its interval must be a profile penalized-likelihood interval rather than a Wald one, because under separation the two disagree here: the Wald interval spans 0.74 to 387 and the profile interval 1.93 to 2229 (penalized likelihood-ratio p=0.006). The direction of the contrast is therefore supported, ultrasound having been far more often positive when volvulus was present, while its magnitude is not estimable to any useful precision from six children. The estimate was reproduced to six decimal places by an independent implementation. Table S13 also reports era-by-content interaction terms for ultrasound and CT; neither is significant, so the additive models used in Table 4 are not obviously misspecified.</w:t>
      </w:r>
    </w:p>
    <w:p>
      <w:pPr>
        <w:spacing w:after="160"/>
      </w:pPr>
      <w:r>
        <w:rPr>
          <w:b/>
        </w:rPr>
        <w:t>Table S13. Interaction terms, and the separated volvulus contrast under penalized likelihood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Analysis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Estimate (95% CI)</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Modality x volvulus interaction, upper gastrointestinal series vs CT (GEE; estimable)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CT x volvulus odds ratio 0.99 (0.36–2.70)</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0.981</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Modality x volvulus interaction including ultrasound (GEE)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Not estimable (complete separation)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detection given midgut volvulus, Firth penalized logistic</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Odds ratio 16.9 (1.93–2229, profile penalized likelihood)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0.006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Era x examination-content interaction,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1.06 (0.19–5.81)</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0.950</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Era x examination-content interaction,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1.52 (0.31–7.34)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0.603</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Supplement 1), the pooling of same-day reports into one index episode, the era boundary sensitivity analysis, the marginal-effect presentation, and every analysis in this section. The paper's claims should be read accordingly: the content rates and the era analysis are descriptive and hypothesis-generating, not confirmatory tests of pre-registered hypotheses.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