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Supplement 3. Content audit of the CT and upper gastrointestinal series index reports</w:t>
      </w:r>
    </w:p>
    <w:p>
      <w:pPr>
        <w:spacing w:after="160"/>
      </w:pPr>
      <w:r>
        <w:t>Supplement to the same manuscript.</w:t>
      </w:r>
    </w:p>
    <w:p>
      <w:pPr>
        <w:spacing w:after="160"/>
      </w:pPr>
      <w:r>
        <w:rPr>
          <w:b/>
        </w:rPr>
        <w:t>Table S7. Documented content of the CT and upper gastrointestinal series index examinations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872"/>
        <w:gridCol w:w="1872"/>
        <w:gridCol w:w="1872"/>
        <w:gridCol w:w="1872"/>
        <w:gridCol w:w="1872"/>
      </w:tblGrid>
      <w:tr>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Modality</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Documented content</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n (%) of reports</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when documented</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when not documented</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 (n=320)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Contrast enhancement</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52 (16.2)</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42/52 (81%)</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127/268 (47%)</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 (n=320)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Mesenteric whirl</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116 (36.2)</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114/116 (98%)</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55/204 (27%)</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 (n=320)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Duodenum mentioned</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73 (22.8)</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43/73 (59%)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126/247 (51%)</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 (n=320)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Mesenteric-vessel relationship</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43 (13.4)</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34/43 (79%)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135/277 (49%)</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 (n=320)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Three-dimensional reconstruction</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124 (38.8)</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78/124 (63%)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91/196 (46%)</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Upper gastrointestinal series (n=301)</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Duodenojejunal junction</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154 (51.2)</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153/154 (99%)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84/147 (57%)</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Upper gastrointestinal series (n=301)</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Corkscrew / spring appearance</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140 (46.5)</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140/140 (100%)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97/161 (60%)</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Upper gastrointestinal series (n=301)</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Jejunal position</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213 (70.8)</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200/213 (94%)</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37/88 (42%)</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Upper gastrointestinal series (n=301)</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Cecal position</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200 (66.4)</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180/200 (90%)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57/101 (56%)</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Upper gastrointestinal series (n=301)</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Whole-gastrointestinal study</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286 (95.0)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224/286 (78%)</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13/15 (87%)</w:t>
            </w:r>
          </w:p>
        </w:tc>
      </w:tr>
      <w:tr>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sz w:val="17"/>
              </w:rPr>
              <w:t>Upper gastrointestinal series (n=301)</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sz w:val="17"/>
              </w:rPr>
              <w:t>Barium used</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17 (5.6)</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16/17 (94%)</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sz w:val="17"/>
              </w:rPr>
              <w:t>221/284 (78%)</w:t>
            </w:r>
          </w:p>
        </w:tc>
      </w:tr>
    </w:tbl>
    <w:p>
      <w:pPr>
        <w:spacing w:after="160"/>
      </w:pPr>
    </w:p>
    <w:p>
      <w:pPr>
        <w:spacing w:after="160"/>
      </w:pPr>
      <w:r>
        <w:t>Content was coded from the findings and conclusion text of each index examination episode using the patterns in Supplement 1, Section H. Detection percentages are report-level detection among surgically confirmed children, conditional on whether the element was documented. The CT row "Duodenum mentioned" counts any mention of the duodenum in the report text and is not a record that duodenal position was assessed. As with the ultrasound audit in the main manuscript, these are associations within routine reports and are not adjusted for indication, age or era: a report describing a mesenteric whirl is likely to conclude that malrotation is present. The tabulation is informative for how often each element was documented, not for the strength of these associations.</w:t>
      </w:r>
    </w:p>
    <w:p>
      <w:pPr>
        <w:spacing w:after="160"/>
      </w:pPr>
      <w:r>
        <w:t>Two features of these reports bear on the ultrasound findings. The upper gastrointestinal series was the only modality whose routine reports documented the duodenojejunal junction, the anatomical landmark that defines malrotation, in about half of examinations (51.2%), and jejunal position in 70.8%. The mesenteric whirl was documented in only 36.2% of CT examinations, and contrast enhancement, which renders the whirl visible, was used in only 16.2%; together these account for most of the observed CT detection rate.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