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2,978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As the cohort was surgically confirmed, the outcome was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describes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 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duodenal anatomy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 17], the most accurate sign for malrotation in the 2025 series [13]; the duodenojejunal junction [12, 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ACR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 13, 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so whether the findings generalize, whether a structured report would raise documentation and whether documentation would raise detection are unknown.</w:t>
      </w:r>
    </w:p>
    <w:p>
      <w:pPr>
        <w:pStyle w:val="Heading1"/>
      </w:pPr>
      <w:r>
        <w:t>Take-Home Points</w:t>
      </w:r>
    </w:p>
    <w:p>
      <w:pPr>
        <w:spacing w:after="160" w:line="480" w:lineRule="auto"/>
      </w:pPr>
      <w:r>
        <w:t>• At one center, routine ultrasound reports for children with surgically confirmed malrotation (96% with volvulus) documented the duodenal landmarks emphasized by published series in 2.6% of 117 examinations.</w:t>
      </w:r>
    </w:p>
    <w:p>
      <w:pPr>
        <w:spacing w:after="160" w:line="480" w:lineRule="auto"/>
      </w:pPr>
      <w:r>
        <w:t>• Positive ultrasound reports almost always described a whirlpool (59 of 64), a sign of volvulus. It was recorded in 59 of the 112 ultrasound-examined children with volvulus.</w:t>
      </w:r>
    </w:p>
    <w:p>
      <w:pPr>
        <w:spacing w:after="160" w:line="480" w:lineRule="auto"/>
      </w:pPr>
      <w:r>
        <w:t>• These are report-level detection rates among surgically confirmed children, not sensitivities; they do not establish specificity, predictive value or ranking of modalities, and do not argue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Chapman WW, Bridewell W, Hanbury P, Cooper GF, Buchanan BG. A simple algorithm for identifying negated findings and diseases in discharge summaries. </w:t>
      </w:r>
      <w:r>
        <w:rPr>
          <w:i/>
          <w:sz w:val="20"/>
        </w:rPr>
        <w:t>J Biomed Inform</w:t>
      </w:r>
      <w:r>
        <w:rPr>
          <w:sz w:val="20"/>
        </w:rPr>
        <w:t>. 2001;34:301-310. doi:10.1006/jbin.2001.1029</w:t>
      </w:r>
    </w:p>
    <w:p>
      <w:pPr>
        <w:spacing w:after="60" w:line="480" w:lineRule="auto"/>
      </w:pPr>
      <w:r>
        <w:rPr>
          <w:sz w:val="20"/>
        </w:rPr>
        <w:t xml:space="preserve">25.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26. Firth D. Bias reduction of maximum likelihood estimates. </w:t>
      </w:r>
      <w:r>
        <w:rPr>
          <w:i/>
          <w:sz w:val="20"/>
        </w:rPr>
        <w:t>Biometrika</w:t>
      </w:r>
      <w:r>
        <w:rPr>
          <w:sz w:val="20"/>
        </w:rPr>
        <w:t>. 1993;80:27-38. doi:10.1093/biomet/80.1.27</w:t>
      </w:r>
    </w:p>
    <w:p>
      <w:pPr>
        <w:spacing w:after="60" w:line="480" w:lineRule="auto"/>
      </w:pPr>
      <w:r>
        <w:rPr>
          <w:sz w:val="20"/>
        </w:rPr>
        <w:t xml:space="preserve">27.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28.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71415"/>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71415"/>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