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t>July 13, 2026</w:t>
      </w:r>
    </w:p>
    <w:p>
      <w:pPr>
        <w:spacing w:after="160"/>
      </w:pPr>
      <w:r/>
    </w:p>
    <w:p>
      <w:pPr>
        <w:spacing w:after="160"/>
      </w:pPr>
      <w:r>
        <w:t>Editor-in-Chief</w:t>
      </w:r>
    </w:p>
    <w:p>
      <w:pPr>
        <w:spacing w:after="160"/>
      </w:pPr>
      <w:r>
        <w:t>Pediatric Radiology</w:t>
      </w:r>
    </w:p>
    <w:p>
      <w:pPr>
        <w:spacing w:after="160"/>
      </w:pPr>
      <w:r/>
    </w:p>
    <w:p>
      <w:pPr>
        <w:spacing w:after="160"/>
      </w:pPr>
      <w:r>
        <w:t>Dear Editor-in-Chief,</w:t>
      </w:r>
    </w:p>
    <w:p>
      <w:pPr>
        <w:spacing w:after="160"/>
      </w:pPr>
      <w:r/>
    </w:p>
    <w:p>
      <w:pPr>
        <w:spacing w:after="160"/>
      </w:pPr>
      <w:r>
        <w:t>We are pleased to submit our manuscript entitled “Real-world detection rates of gastrointestinal ultrasound, abdominal CT, and the upper gastrointestinal contrast series for intestinal malrotation in children: a 13.5-year single-center cohort” for consideration as an Original Article in Pediatric Radiology.</w:t>
      </w:r>
    </w:p>
    <w:p>
      <w:pPr>
        <w:spacing w:after="160"/>
      </w:pPr>
      <w:r/>
    </w:p>
    <w:p>
      <w:pPr>
        <w:spacing w:after="160"/>
      </w:pPr>
      <w:r>
        <w:t>Intestinal malrotation with midgut volvulus is a pediatric surgical emergency, yet ultrasound, computed tomography (CT), and the upper gastrointestinal (UGI) contrast series have rarely been compared within the same cohort, and most published diagnostic-accuracy estimates for these tests derive from dedicated, blinded re-review by expert readers rather than from routine clinical reporting. In this single-center cohort of 465 children with surgically confirmed intestinal malrotation over a 13.5-year period, we compared the real-world detection rate of all three modalities using a generalized estimating equation model in all patients with at least one preoperative examination, confirmed by a paired analysis in the 59 children who underwent all three tests. The UGI series detected malrotation more often than CT or ultrasound, which had similarly lower and statistically indistinguishable detection rates; contrast-enhanced CT approached the UGI series in an exploratory subgroup, and ultrasound detection appeared concentrated in children with midgut volvulus, although this pattern did not reach statistical significance and is presented as hypothesis-generating.</w:t>
      </w:r>
    </w:p>
    <w:p>
      <w:pPr>
        <w:spacing w:after="160"/>
      </w:pPr>
      <w:r/>
    </w:p>
    <w:p>
      <w:pPr>
        <w:spacing w:after="160"/>
      </w:pPr>
      <w:r>
        <w:t>We believe this work will be of interest to the readers of Pediatric Radiology because, to our knowledge, it is among the first to directly compare all three principal imaging tests for intestinal malrotation within the same real-world cohort, and because it characterizes the diagnostic yield reflected in routine clinical reports rather than idealized expert re-interpretation — revealing a gap between research-grade and everyday performance with direct implications for imaging strategy.</w:t>
      </w:r>
    </w:p>
    <w:p>
      <w:pPr>
        <w:spacing w:after="160"/>
      </w:pPr>
      <w:r/>
    </w:p>
    <w:p>
      <w:pPr>
        <w:spacing w:after="160"/>
      </w:pPr>
      <w:r>
        <w:t>This manuscript is original, has not been published previously, and is not under consideration elsewhere. All authors have read and approved the final version of the manuscript and take full responsibility for its content. The authors declare no conflicts of interest, and this research received no specific grant from any funding agency in the public, commercial, or not-for-profit sectors. The study was approved by the institutional review board of Wuhan Children's Hospital (Wuhan Maternal and Child Healthcare Hospital) (approval number 2026R018-E01), with a waiver of informed consent given the retrospective, de-identified design.</w:t>
      </w:r>
    </w:p>
    <w:p>
      <w:pPr>
        <w:spacing w:after="160"/>
      </w:pPr>
      <w:r/>
    </w:p>
    <w:p>
      <w:pPr>
        <w:spacing w:after="160"/>
      </w:pPr>
      <w:r>
        <w:t>Thank you for your consideration of our manuscript. We look forward to your response.</w:t>
      </w:r>
    </w:p>
    <w:p>
      <w:pPr>
        <w:spacing w:after="160"/>
      </w:pPr>
      <w:r/>
    </w:p>
    <w:p>
      <w:pPr>
        <w:spacing w:after="160"/>
      </w:pPr>
      <w:r>
        <w:t>Sincerely,</w:t>
      </w:r>
    </w:p>
    <w:p>
      <w:pPr>
        <w:spacing w:after="160"/>
      </w:pPr>
      <w:r/>
    </w:p>
    <w:p>
      <w:pPr>
        <w:spacing w:after="40"/>
      </w:pPr>
      <w:r>
        <w:t>Jun Yang, on behalf of all authors</w:t>
      </w:r>
    </w:p>
    <w:p>
      <w:pPr>
        <w:spacing w:after="40"/>
      </w:pPr>
      <w:r>
        <w:t>Department of General Surgery, Wuhan Children's Hospital (Wuhan Maternal and Child Healthcare Hospital), Tongji Medical College, Huazhong University of Science and Technology, Wuhan 430016, Hubei, China</w:t>
      </w:r>
    </w:p>
    <w:p>
      <w:pPr>
        <w:spacing w:after="40"/>
      </w:pPr>
      <w:r>
        <w:t>Email: yjun201602@163.com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