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1. Text-classification algorithm and report-content audit</w:t>
      </w:r>
    </w:p>
    <w:p>
      <w:pPr>
        <w:spacing w:after="160"/>
      </w:pPr>
      <w:r>
        <w:t>Supplement to: "Routine ultrasound reports for intestinal malrotation rarely document duodenal landmarks: an audit of 740 preoperative index examinations in 410 surgically confirmed children"</w:t>
      </w:r>
    </w:p>
    <w:p>
      <w:pPr>
        <w:spacing w:after="160"/>
      </w:pPr>
      <w:r>
        <w:t>Sections A–F specify the classification rules. Section J reports a reference implementation of those rules as a runnable script, together with its agreement with the final adjudicated labels, so that the specification below can be executed rather than only read.</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The two operations are independent: content coding never influenced the positive/negative label, and vice versa. Labels were subsequently adjudicated by a blinded paediatric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five reports were changed to positive because a malrotation sign appeared in the findings section without being carried into the conclusion (Section G). The final outcome is therefore "positive under the study definition after adjudication", not "positive conclusion", and the two differ in those five reports.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cancelled as a negation; a hedged cue is read in the twelve characters before the term or, up to the next punctuation, after it. Reports with no matching clause were labelled negative. Technically non-diagnostic studies were not coded separately as indeterminate and were labelled by their stated conclusion.</w:t>
      </w:r>
    </w:p>
    <w:p>
      <w:pPr>
        <w:pStyle w:val="Heading1"/>
      </w:pPr>
      <w:r>
        <w:t>G. Validation and adjudication</w:t>
      </w:r>
    </w:p>
    <w:p>
      <w:pPr>
        <w:spacing w:after="160"/>
      </w:pPr>
      <w:r>
        <w:t>A paediatric surgeon blinded to the operative findings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per-modality agreement 88% (UGI), 88% (CT) and 100% (ultrasound). These are the only figures used to characterise algorithm performance.</w:t>
      </w:r>
    </w:p>
    <w:p>
      <w:pPr>
        <w:spacing w:after="160"/>
      </w:pPr>
      <w:r>
        <w:rPr>
          <w:b/>
        </w:rPr>
        <w:t>Sample 2 (targeted).</w:t>
      </w:r>
      <w:r>
        <w:t xml:space="preserve"> The 8 reports in which a malrotation sign appeared in the findings section while the machine label was negative. Five were confirmed as machine under-calls and corrected.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all 740 index units).</w:t>
      </w:r>
      <w:r>
        <w:t xml:space="preserve"> Both earlier samples could only produce under-calls: one was small and the other was selected on suspected under-call. Every index unit was therefore screened in both directions —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w:t>
      </w:r>
    </w:p>
    <w:p>
      <w:pPr>
        <w:spacing w:after="160"/>
      </w:pPr>
      <w:r>
        <w:t>Three were over-calls and were corrected to negative: two CT units whose reports concern unrelated findings (a quadrate-lobe haemangioma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`label_corrections.csv` and applied to the analysis matrix by `core.py`;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2.4 days earlier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report whose wording is ambiguous in neither of those ways.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(`classifier.py`, deposited with this Online Resource)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The comparison is made by `classifier_agreement.py`, which applies the script to the pooled conclusion of each of the 740 index examination episodes — the same index unit the analysis uses — and compares the result with the final labels (the algorithmic labels after adjudication). The reference implementation agreed on 732 of 740 (98.9%): 298 of 301 (99.0%) for the UGI series, 316 of 320 (98.8%) for CT and 118 of 119 (99.2%) for ultrasound. All eight disagreements were reference-implementation under-calls; there was no over-call.</w:t>
      </w:r>
    </w:p>
    <w:p>
      <w:pPr>
        <w:spacing w:after="160"/>
      </w:pPr>
      <w:r>
        <w:t>These 8 disagreements are not the same set as the 10 corrections made by the adjudicator in Section G, and the two counts should not be equated. The 10 are the corrections made after human review; the 8 are the index units where the published code and the final label differ, across all 740. Only some of the 8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8 share the failure modes listed in Section G: the diagnosis stated in the findings section but not carried into the conclusion; a conclusion consisting only of a cross-reference to another report; and a diagnostic sign described morphologically without the diagnosis being named. That all 8 are under-calls shows that a conclusion-only rule set of this kind loses reports rather than inventing them,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eight units above, so tier counts differ by small numbers.</w:t>
      </w:r>
    </w:p>
    <w:p>
      <w:pPr>
        <w:pStyle w:val="Heading1"/>
      </w:pPr>
      <w:r>
        <w:t>G2. Cohort retrieval strings</w:t>
      </w:r>
    </w:p>
    <w:p>
      <w:pPr>
        <w:spacing w:after="160"/>
      </w:pPr>
      <w:r>
        <w:t>Children were retrieved from the institutional surgical records database by matching, case-insensitively, the operative diagnosis field (术中诊断) against `肠旋转不良` or the procedure-name field (手术名称) against `Ladd`. Applied to the 559 operative records of 499 children held for the study period, this returns 503 records in 465 children; every retrieved record was read before inclusion.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colour Doppler, caecal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b/>
                <w:sz w:val="17"/>
              </w:rPr>
              <w:t>Element</w:t>
            </w:r>
          </w:p>
        </w:tc>
        <w:tc>
          <w:tcPr>
            <w:tcW w:type="dxa" w:w="3120"/>
          </w:tcPr>
          <w:p>
            <w:r/>
            <w:r>
              <w:rPr>
                <w:rFonts w:ascii="Times New Roman" w:hAnsi="Times New Roman"/>
                <w:b/>
                <w:sz w:val="17"/>
              </w:rPr>
              <w:t>Modality</w:t>
            </w:r>
          </w:p>
        </w:tc>
        <w:tc>
          <w:tcPr>
            <w:tcW w:type="dxa" w:w="3120"/>
          </w:tcPr>
          <w:p>
            <w:r/>
            <w:r>
              <w:rPr>
                <w:rFonts w:ascii="Times New Roman" w:hAnsi="Times New Roman"/>
                <w:b/>
                <w:sz w:val="17"/>
              </w:rPr>
              <w:t>Regular expression (source text)</w:t>
            </w:r>
          </w:p>
        </w:tc>
      </w:tr>
      <w:tr>
        <w:tc>
          <w:tcPr>
            <w:tcW w:type="dxa" w:w="3120"/>
          </w:tcPr>
          <w:p>
            <w:r/>
            <w:r>
              <w:rPr>
                <w:rFonts w:ascii="Times New Roman" w:hAnsi="Times New Roman"/>
                <w:sz w:val="17"/>
              </w:rPr>
              <w:t>Third portion of duodenum (D3)</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十二指肠水平部|十二指肠水平段|十二指肠横部|十二指肠第三段|(?&lt;![弓])横部|水平部</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十二指肠空肠曲|屈氏|Treitz|十二指肠悬韧带|十二指肠[-—与和]?空肠交界</w:t>
            </w:r>
          </w:p>
        </w:tc>
      </w:tr>
      <w:tr>
        <w:tc>
          <w:tcPr>
            <w:tcW w:type="dxa" w:w="3120"/>
          </w:tcPr>
          <w:p>
            <w:r/>
            <w:r>
              <w:rPr>
                <w:rFonts w:ascii="Times New Roman" w:hAnsi="Times New Roman"/>
                <w:sz w:val="17"/>
              </w:rPr>
              <w:t>Duodenum mentioned in any form</w:t>
            </w:r>
          </w:p>
        </w:tc>
        <w:tc>
          <w:tcPr>
            <w:tcW w:type="dxa" w:w="3120"/>
          </w:tcPr>
          <w:p>
            <w:r/>
            <w:r>
              <w:rPr>
                <w:rFonts w:ascii="Times New Roman" w:hAnsi="Times New Roman"/>
                <w:sz w:val="17"/>
              </w:rPr>
              <w:t>Ultrasound</w:t>
            </w:r>
          </w:p>
        </w:tc>
        <w:tc>
          <w:tcPr>
            <w:tcW w:type="dxa" w:w="3120"/>
          </w:tcPr>
          <w:p>
            <w:r/>
            <w:r>
              <w:rPr>
                <w:rFonts w:ascii="Times New Roman" w:hAnsi="Times New Roman"/>
                <w:sz w:val="17"/>
              </w:rPr>
              <w:t>十二指肠</w:t>
            </w:r>
          </w:p>
        </w:tc>
      </w:tr>
      <w:tr>
        <w:tc>
          <w:tcPr>
            <w:tcW w:type="dxa" w:w="3120"/>
          </w:tcPr>
          <w:p>
            <w:r/>
            <w:r>
              <w:rPr>
                <w:rFonts w:ascii="Times New Roman" w:hAnsi="Times New Roman"/>
                <w:sz w:val="17"/>
              </w:rPr>
              <w:t>Superior mesenteric artery–vein relationship</w:t>
            </w:r>
          </w:p>
        </w:tc>
        <w:tc>
          <w:tcPr>
            <w:tcW w:type="dxa" w:w="3120"/>
          </w:tcPr>
          <w:p>
            <w:r/>
            <w:r>
              <w:rPr>
                <w:rFonts w:ascii="Times New Roman" w:hAnsi="Times New Roman"/>
                <w:sz w:val="17"/>
              </w:rPr>
              <w:t>Ultrasound / CT</w:t>
            </w:r>
          </w:p>
        </w:tc>
        <w:tc>
          <w:tcPr>
            <w:tcW w:type="dxa" w:w="3120"/>
          </w:tcPr>
          <w:p>
            <w:r/>
            <w:r>
              <w:rPr>
                <w:rFonts w:ascii="Times New Roman" w:hAnsi="Times New Roman"/>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Pr>
          <w:p>
            <w:r/>
            <w:r>
              <w:rPr>
                <w:rFonts w:ascii="Times New Roman" w:hAnsi="Times New Roman"/>
                <w:sz w:val="17"/>
              </w:rPr>
              <w:t>Explicit vessel inversion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(?:静脉|动脉)[^。；\n]{0,10}(?:换位|反位|倒置|关系异常|异常关系)|静脉位于[^。；\n]{0,8}左|动脉位于[^。；\n]{0,8}右</w:t>
            </w:r>
          </w:p>
        </w:tc>
      </w:tr>
      <w:tr>
        <w:tc>
          <w:tcPr>
            <w:tcW w:type="dxa" w:w="3120"/>
          </w:tcPr>
          <w:p>
            <w:r/>
            <w:r>
              <w:rPr>
                <w:rFonts w:ascii="Times New Roman" w:hAnsi="Times New Roman"/>
                <w:sz w:val="17"/>
              </w:rPr>
              <w:t>Whirlpool / swirl / spiral appearance</w:t>
            </w:r>
          </w:p>
        </w:tc>
        <w:tc>
          <w:tcPr>
            <w:tcW w:type="dxa" w:w="3120"/>
          </w:tcPr>
          <w:p>
            <w:r/>
            <w:r>
              <w:rPr>
                <w:rFonts w:ascii="Times New Roman" w:hAnsi="Times New Roman"/>
                <w:sz w:val="17"/>
              </w:rPr>
              <w:t>All</w:t>
            </w:r>
          </w:p>
        </w:tc>
        <w:tc>
          <w:tcPr>
            <w:tcW w:type="dxa" w:w="3120"/>
          </w:tcPr>
          <w:p>
            <w:r/>
            <w:r>
              <w:rPr>
                <w:rFonts w:ascii="Times New Roman" w:hAnsi="Times New Roman"/>
                <w:sz w:val="17"/>
              </w:rPr>
              <w:t>漩涡|旋涡|涡流|螺旋; counted only where no negation (未见|未探及|未显示|未发现|无明显|不明显|未闻) occurs in the 12 characters preceding the match within the same clause</w:t>
            </w:r>
          </w:p>
        </w:tc>
      </w:tr>
      <w:tr>
        <w:tc>
          <w:tcPr>
            <w:tcW w:type="dxa" w:w="3120"/>
          </w:tcPr>
          <w:p>
            <w:r/>
            <w:r>
              <w:rPr>
                <w:rFonts w:ascii="Times New Roman" w:hAnsi="Times New Roman"/>
                <w:sz w:val="17"/>
              </w:rPr>
              <w:t>Enteric fluid administered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饮水|口服[^。；\n]{0,6}(?:水|液|造影剂)|注水|注入|胃内注|温开水|经胃管</w:t>
            </w:r>
          </w:p>
        </w:tc>
      </w:tr>
      <w:tr>
        <w:tc>
          <w:tcPr>
            <w:tcW w:type="dxa" w:w="3120"/>
          </w:tcPr>
          <w:p>
            <w:r/>
            <w:r>
              <w:rPr>
                <w:rFonts w:ascii="Times New Roman" w:hAnsi="Times New Roman"/>
                <w:sz w:val="17"/>
              </w:rPr>
              <w:t>Dynamic (real-time) assessment</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动态|实时观察|连续观察</w:t>
            </w:r>
          </w:p>
        </w:tc>
      </w:tr>
      <w:tr>
        <w:tc>
          <w:tcPr>
            <w:tcW w:type="dxa" w:w="3120"/>
          </w:tcPr>
          <w:p>
            <w:r/>
            <w:r>
              <w:rPr>
                <w:rFonts w:ascii="Times New Roman" w:hAnsi="Times New Roman"/>
                <w:sz w:val="17"/>
              </w:rPr>
              <w:t>Graded compression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加压|探头压|压迫探查</w:t>
            </w:r>
          </w:p>
        </w:tc>
      </w:tr>
      <w:tr>
        <w:tc>
          <w:tcPr>
            <w:tcW w:type="dxa" w:w="3120"/>
          </w:tcPr>
          <w:p>
            <w:r/>
            <w:r>
              <w:rPr>
                <w:rFonts w:ascii="Times New Roman" w:hAnsi="Times New Roman"/>
                <w:sz w:val="17"/>
              </w:rPr>
              <w:t>Colour Doppler used</w:t>
            </w:r>
          </w:p>
        </w:tc>
        <w:tc>
          <w:tcPr>
            <w:tcW w:type="dxa" w:w="3120"/>
          </w:tcPr>
          <w:p>
            <w:r/>
            <w:r>
              <w:rPr>
                <w:rFonts w:ascii="Times New Roman" w:hAnsi="Times New Roman"/>
                <w:sz w:val="17"/>
              </w:rPr>
              <w:t>Ultrasound</w:t>
            </w:r>
          </w:p>
        </w:tc>
        <w:tc>
          <w:tcPr>
            <w:tcW w:type="dxa" w:w="3120"/>
          </w:tcPr>
          <w:p>
            <w:r/>
            <w:r>
              <w:rPr>
                <w:rFonts w:ascii="Times New Roman" w:hAnsi="Times New Roman"/>
                <w:sz w:val="17"/>
              </w:rPr>
              <w:t>CDFI|彩色多普勒|多普勒</w:t>
            </w:r>
          </w:p>
        </w:tc>
      </w:tr>
      <w:tr>
        <w:tc>
          <w:tcPr>
            <w:tcW w:type="dxa" w:w="3120"/>
          </w:tcPr>
          <w:p>
            <w:r/>
            <w:r>
              <w:rPr>
                <w:rFonts w:ascii="Times New Roman" w:hAnsi="Times New Roman"/>
                <w:sz w:val="17"/>
              </w:rPr>
              <w:t>Bowel gas explicitly limiting the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clause containing both (肠气|积气|气体干扰|气体遮挡|气体遮盖|气体较多|气强反射|充满气体) and (干扰|遮挡|遮盖|显示不清|显示欠清|探及?不满意|不满意)</w:t>
            </w:r>
          </w:p>
        </w:tc>
      </w:tr>
      <w:tr>
        <w:tc>
          <w:tcPr>
            <w:tcW w:type="dxa" w:w="3120"/>
          </w:tcPr>
          <w:p>
            <w:r/>
            <w:r>
              <w:rPr>
                <w:rFonts w:ascii="Times New Roman" w:hAnsi="Times New Roman"/>
                <w:sz w:val="17"/>
              </w:rPr>
              <w:t>Caecal position</w:t>
            </w:r>
          </w:p>
        </w:tc>
        <w:tc>
          <w:tcPr>
            <w:tcW w:type="dxa" w:w="3120"/>
          </w:tcPr>
          <w:p>
            <w:r/>
            <w:r>
              <w:rPr>
                <w:rFonts w:ascii="Times New Roman" w:hAnsi="Times New Roman"/>
                <w:sz w:val="17"/>
              </w:rPr>
              <w:t>Ultrasound / UGI</w:t>
            </w:r>
          </w:p>
        </w:tc>
        <w:tc>
          <w:tcPr>
            <w:tcW w:type="dxa" w:w="3120"/>
          </w:tcPr>
          <w:p>
            <w:r/>
            <w:r>
              <w:rPr>
                <w:rFonts w:ascii="Times New Roman" w:hAnsi="Times New Roman"/>
                <w:sz w:val="17"/>
              </w:rPr>
              <w:t>回盲</w:t>
            </w:r>
          </w:p>
        </w:tc>
      </w:tr>
      <w:tr>
        <w:tc>
          <w:tcPr>
            <w:tcW w:type="dxa" w:w="3120"/>
          </w:tcPr>
          <w:p>
            <w:r/>
            <w:r>
              <w:rPr>
                <w:rFonts w:ascii="Times New Roman" w:hAnsi="Times New Roman"/>
                <w:sz w:val="17"/>
              </w:rPr>
              <w:t>Bedside examination</w:t>
            </w:r>
          </w:p>
        </w:tc>
        <w:tc>
          <w:tcPr>
            <w:tcW w:type="dxa" w:w="3120"/>
          </w:tcPr>
          <w:p>
            <w:r/>
            <w:r>
              <w:rPr>
                <w:rFonts w:ascii="Times New Roman" w:hAnsi="Times New Roman"/>
                <w:sz w:val="17"/>
              </w:rPr>
              <w:t>Ultrasound</w:t>
            </w:r>
          </w:p>
        </w:tc>
        <w:tc>
          <w:tcPr>
            <w:tcW w:type="dxa" w:w="3120"/>
          </w:tcPr>
          <w:p>
            <w:r/>
            <w:r>
              <w:rPr>
                <w:rFonts w:ascii="Times New Roman" w:hAnsi="Times New Roman"/>
                <w:sz w:val="17"/>
              </w:rPr>
              <w:t>床旁 (in the examination name)</w:t>
            </w:r>
          </w:p>
        </w:tc>
      </w:tr>
      <w:tr>
        <w:tc>
          <w:tcPr>
            <w:tcW w:type="dxa" w:w="3120"/>
          </w:tcPr>
          <w:p>
            <w:r/>
            <w:r>
              <w:rPr>
                <w:rFonts w:ascii="Times New Roman" w:hAnsi="Times New Roman"/>
                <w:sz w:val="17"/>
              </w:rPr>
              <w:t>Examination type: great-vessel study</w:t>
            </w:r>
          </w:p>
        </w:tc>
        <w:tc>
          <w:tcPr>
            <w:tcW w:type="dxa" w:w="3120"/>
          </w:tcPr>
          <w:p>
            <w:r/>
            <w:r>
              <w:rPr>
                <w:rFonts w:ascii="Times New Roman" w:hAnsi="Times New Roman"/>
                <w:sz w:val="17"/>
              </w:rPr>
              <w:t>Ultrasound</w:t>
            </w:r>
          </w:p>
        </w:tc>
        <w:tc>
          <w:tcPr>
            <w:tcW w:type="dxa" w:w="3120"/>
          </w:tcPr>
          <w:p>
            <w:r/>
            <w:r>
              <w:rPr>
                <w:rFonts w:ascii="Times New Roman" w:hAnsi="Times New Roman"/>
                <w:sz w:val="17"/>
              </w:rPr>
              <w:t>腹部大血管 (in the examination name)</w:t>
            </w:r>
          </w:p>
        </w:tc>
      </w:tr>
      <w:tr>
        <w:tc>
          <w:tcPr>
            <w:tcW w:type="dxa" w:w="3120"/>
          </w:tcPr>
          <w:p>
            <w:r/>
            <w:r>
              <w:rPr>
                <w:rFonts w:ascii="Times New Roman" w:hAnsi="Times New Roman"/>
                <w:sz w:val="17"/>
              </w:rPr>
              <w:t>Examination type: gastrointestinal ultrasound</w:t>
            </w:r>
          </w:p>
        </w:tc>
        <w:tc>
          <w:tcPr>
            <w:tcW w:type="dxa" w:w="3120"/>
          </w:tcPr>
          <w:p>
            <w:r/>
            <w:r>
              <w:rPr>
                <w:rFonts w:ascii="Times New Roman" w:hAnsi="Times New Roman"/>
                <w:sz w:val="17"/>
              </w:rPr>
              <w:t>Ultrasound</w:t>
            </w:r>
          </w:p>
        </w:tc>
        <w:tc>
          <w:tcPr>
            <w:tcW w:type="dxa" w:w="3120"/>
          </w:tcPr>
          <w:p>
            <w:r/>
            <w:r>
              <w:rPr>
                <w:rFonts w:ascii="Times New Roman" w:hAnsi="Times New Roman"/>
                <w:sz w:val="17"/>
              </w:rPr>
              <w:t>胃肠道 (in the examination name)</w:t>
            </w:r>
          </w:p>
        </w:tc>
      </w:tr>
      <w:tr>
        <w:tc>
          <w:tcPr>
            <w:tcW w:type="dxa" w:w="3120"/>
          </w:tcPr>
          <w:p>
            <w:r/>
            <w:r>
              <w:rPr>
                <w:rFonts w:ascii="Times New Roman" w:hAnsi="Times New Roman"/>
                <w:sz w:val="17"/>
              </w:rPr>
              <w:t>Contrast enhancement</w:t>
            </w:r>
          </w:p>
        </w:tc>
        <w:tc>
          <w:tcPr>
            <w:tcW w:type="dxa" w:w="3120"/>
          </w:tcPr>
          <w:p>
            <w:r/>
            <w:r>
              <w:rPr>
                <w:rFonts w:ascii="Times New Roman" w:hAnsi="Times New Roman"/>
                <w:sz w:val="17"/>
              </w:rPr>
              <w:t>CT</w:t>
            </w:r>
          </w:p>
        </w:tc>
        <w:tc>
          <w:tcPr>
            <w:tcW w:type="dxa" w:w="3120"/>
          </w:tcPr>
          <w:p>
            <w:r/>
            <w:r>
              <w:rPr>
                <w:rFonts w:ascii="Times New Roman" w:hAnsi="Times New Roman"/>
                <w:sz w:val="17"/>
              </w:rPr>
              <w:t>增强 (in the examination name)</w:t>
            </w:r>
          </w:p>
        </w:tc>
      </w:tr>
      <w:tr>
        <w:tc>
          <w:tcPr>
            <w:tcW w:type="dxa" w:w="3120"/>
          </w:tcPr>
          <w:p>
            <w:r/>
            <w:r>
              <w:rPr>
                <w:rFonts w:ascii="Times New Roman" w:hAnsi="Times New Roman"/>
                <w:sz w:val="17"/>
              </w:rPr>
              <w:t>Three-dimensional reconstruction</w:t>
            </w:r>
          </w:p>
        </w:tc>
        <w:tc>
          <w:tcPr>
            <w:tcW w:type="dxa" w:w="3120"/>
          </w:tcPr>
          <w:p>
            <w:r/>
            <w:r>
              <w:rPr>
                <w:rFonts w:ascii="Times New Roman" w:hAnsi="Times New Roman"/>
                <w:sz w:val="17"/>
              </w:rPr>
              <w:t>CT</w:t>
            </w:r>
          </w:p>
        </w:tc>
        <w:tc>
          <w:tcPr>
            <w:tcW w:type="dxa" w:w="3120"/>
          </w:tcPr>
          <w:p>
            <w:r/>
            <w:r>
              <w:rPr>
                <w:rFonts w:ascii="Times New Roman" w:hAnsi="Times New Roman"/>
                <w:sz w:val="17"/>
              </w:rPr>
              <w:t>三维重建 (in the examination name)</w:t>
            </w:r>
          </w:p>
        </w:tc>
      </w:tr>
      <w:tr>
        <w:tc>
          <w:tcPr>
            <w:tcW w:type="dxa" w:w="3120"/>
          </w:tcPr>
          <w:p>
            <w:r/>
            <w:r>
              <w:rPr>
                <w:rFonts w:ascii="Times New Roman" w:hAnsi="Times New Roman"/>
                <w:sz w:val="17"/>
              </w:rPr>
              <w:t>Duodenojejunal junction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空肠曲|屈氏|Treitz|悬韧带|十二指肠[-—与和]?空肠交界</w:t>
            </w:r>
          </w:p>
        </w:tc>
      </w:tr>
      <w:tr>
        <w:tc>
          <w:tcPr>
            <w:tcW w:type="dxa" w:w="3120"/>
          </w:tcPr>
          <w:p>
            <w:r/>
            <w:r>
              <w:rPr>
                <w:rFonts w:ascii="Times New Roman" w:hAnsi="Times New Roman"/>
                <w:sz w:val="17"/>
              </w:rPr>
              <w:t>Corkscrew / spring appearance</w:t>
            </w:r>
          </w:p>
        </w:tc>
        <w:tc>
          <w:tcPr>
            <w:tcW w:type="dxa" w:w="3120"/>
          </w:tcPr>
          <w:p>
            <w:r/>
            <w:r>
              <w:rPr>
                <w:rFonts w:ascii="Times New Roman" w:hAnsi="Times New Roman"/>
                <w:sz w:val="17"/>
              </w:rPr>
              <w:t>UGI</w:t>
            </w:r>
          </w:p>
        </w:tc>
        <w:tc>
          <w:tcPr>
            <w:tcW w:type="dxa" w:w="3120"/>
          </w:tcPr>
          <w:p>
            <w:r/>
            <w:r>
              <w:rPr>
                <w:rFonts w:ascii="Times New Roman" w:hAnsi="Times New Roman"/>
                <w:sz w:val="17"/>
              </w:rPr>
              <w:t>弹簧|螺旋|绞索|盘曲</w:t>
            </w:r>
          </w:p>
        </w:tc>
      </w:tr>
      <w:tr>
        <w:tc>
          <w:tcPr>
            <w:tcW w:type="dxa" w:w="3120"/>
          </w:tcPr>
          <w:p>
            <w:r/>
            <w:r>
              <w:rPr>
                <w:rFonts w:ascii="Times New Roman" w:hAnsi="Times New Roman"/>
                <w:sz w:val="17"/>
              </w:rPr>
              <w:t>Jejunal position</w:t>
            </w:r>
          </w:p>
        </w:tc>
        <w:tc>
          <w:tcPr>
            <w:tcW w:type="dxa" w:w="3120"/>
          </w:tcPr>
          <w:p>
            <w:r/>
            <w:r>
              <w:rPr>
                <w:rFonts w:ascii="Times New Roman" w:hAnsi="Times New Roman"/>
                <w:sz w:val="17"/>
              </w:rPr>
              <w:t>UGI</w:t>
            </w:r>
          </w:p>
        </w:tc>
        <w:tc>
          <w:tcPr>
            <w:tcW w:type="dxa" w:w="3120"/>
          </w:tcPr>
          <w:p>
            <w:r/>
            <w:r>
              <w:rPr>
                <w:rFonts w:ascii="Times New Roman" w:hAnsi="Times New Roman"/>
                <w:sz w:val="17"/>
              </w:rPr>
              <w:t>空肠.{0,10}(位于|居|偏)</w:t>
            </w:r>
          </w:p>
        </w:tc>
      </w:tr>
      <w:tr>
        <w:tc>
          <w:tcPr>
            <w:tcW w:type="dxa" w:w="3120"/>
          </w:tcPr>
          <w:p>
            <w:r/>
            <w:r>
              <w:rPr>
                <w:rFonts w:ascii="Times New Roman" w:hAnsi="Times New Roman"/>
                <w:sz w:val="17"/>
              </w:rPr>
              <w:t>Whole-gastrointestinal study</w:t>
            </w:r>
          </w:p>
        </w:tc>
        <w:tc>
          <w:tcPr>
            <w:tcW w:type="dxa" w:w="3120"/>
          </w:tcPr>
          <w:p>
            <w:r/>
            <w:r>
              <w:rPr>
                <w:rFonts w:ascii="Times New Roman" w:hAnsi="Times New Roman"/>
                <w:sz w:val="17"/>
              </w:rPr>
              <w:t>UGI</w:t>
            </w:r>
          </w:p>
        </w:tc>
        <w:tc>
          <w:tcPr>
            <w:tcW w:type="dxa" w:w="3120"/>
          </w:tcPr>
          <w:p>
            <w:r/>
            <w:r>
              <w:rPr>
                <w:rFonts w:ascii="Times New Roman" w:hAnsi="Times New Roman"/>
                <w:sz w:val="17"/>
              </w:rPr>
              <w:t>全消化道 (in the examination name)</w:t>
            </w:r>
          </w:p>
        </w:tc>
      </w:tr>
      <w:tr>
        <w:tc>
          <w:tcPr>
            <w:tcW w:type="dxa" w:w="3120"/>
          </w:tcPr>
          <w:p>
            <w:r/>
            <w:r>
              <w:rPr>
                <w:rFonts w:ascii="Times New Roman" w:hAnsi="Times New Roman"/>
                <w:sz w:val="17"/>
              </w:rPr>
              <w:t>Barium contrast</w:t>
            </w:r>
          </w:p>
        </w:tc>
        <w:tc>
          <w:tcPr>
            <w:tcW w:type="dxa" w:w="3120"/>
          </w:tcPr>
          <w:p>
            <w:r/>
            <w:r>
              <w:rPr>
                <w:rFonts w:ascii="Times New Roman" w:hAnsi="Times New Roman"/>
                <w:sz w:val="17"/>
              </w:rPr>
              <w:t>UGI</w:t>
            </w:r>
          </w:p>
        </w:tc>
        <w:tc>
          <w:tcPr>
            <w:tcW w:type="dxa" w:w="3120"/>
          </w:tcPr>
          <w:p>
            <w:r/>
            <w:r>
              <w:rPr>
                <w:rFonts w:ascii="Times New Roman" w:hAnsi="Times New Roman"/>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the whirlpool text variable agrees with the separately adjudicated whirlpool variable in 118 of the 119 ultrasound examinations; the single disagreement is a child whose whirlpool was documented on an ultrasound performed on a different day from the index episode.</w:t>
      </w:r>
    </w:p>
    <w:p>
      <w:pPr>
        <w:pStyle w:val="Heading1"/>
      </w:pPr>
      <w:r>
        <w:t>I. Distribution of labels by modality</w:t>
      </w:r>
    </w:p>
    <w:p>
      <w:pPr>
        <w:spacing w:after="160"/>
      </w:pPr>
      <w:r>
        <w:rPr>
          <w:b/>
        </w:rPr>
        <w:t>Table S2. Distribution of algorithmic labels and certainty tiers, by modality</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Index reports</w:t>
            </w:r>
          </w:p>
        </w:tc>
        <w:tc>
          <w:tcPr>
            <w:tcW w:type="dxa" w:w="1337"/>
          </w:tcPr>
          <w:p>
            <w:r/>
            <w:r>
              <w:rPr>
                <w:rFonts w:ascii="Times New Roman" w:hAnsi="Times New Roman"/>
                <w:b/>
                <w:sz w:val="17"/>
              </w:rPr>
              <w:t>Classified positive</w:t>
            </w:r>
          </w:p>
        </w:tc>
        <w:tc>
          <w:tcPr>
            <w:tcW w:type="dxa" w:w="1337"/>
          </w:tcPr>
          <w:p>
            <w:r/>
            <w:r>
              <w:rPr>
                <w:rFonts w:ascii="Times New Roman" w:hAnsi="Times New Roman"/>
                <w:b/>
                <w:sz w:val="17"/>
              </w:rPr>
              <w:t>Classified negative</w:t>
            </w:r>
          </w:p>
        </w:tc>
        <w:tc>
          <w:tcPr>
            <w:tcW w:type="dxa" w:w="1337"/>
          </w:tcPr>
          <w:p>
            <w:r/>
            <w:r>
              <w:rPr>
                <w:rFonts w:ascii="Times New Roman" w:hAnsi="Times New Roman"/>
                <w:b/>
                <w:sz w:val="17"/>
              </w:rPr>
              <w:t>Positive with definite wording</w:t>
            </w:r>
          </w:p>
        </w:tc>
        <w:tc>
          <w:tcPr>
            <w:tcW w:type="dxa" w:w="1337"/>
          </w:tcPr>
          <w:p>
            <w:r/>
            <w:r>
              <w:rPr>
                <w:rFonts w:ascii="Times New Roman" w:hAnsi="Times New Roman"/>
                <w:b/>
                <w:sz w:val="17"/>
              </w:rPr>
              <w:t>Positive with probable wording</w:t>
            </w:r>
          </w:p>
        </w:tc>
        <w:tc>
          <w:tcPr>
            <w:tcW w:type="dxa" w:w="1337"/>
          </w:tcPr>
          <w:p>
            <w:r/>
            <w:r>
              <w:rPr>
                <w:rFonts w:ascii="Times New Roman" w:hAnsi="Times New Roman"/>
                <w:b/>
                <w:sz w:val="17"/>
              </w:rPr>
              <w:t>Positive with possible wording</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301</w:t>
            </w:r>
          </w:p>
        </w:tc>
        <w:tc>
          <w:tcPr>
            <w:tcW w:type="dxa" w:w="1337"/>
          </w:tcPr>
          <w:p>
            <w:r/>
            <w:r>
              <w:rPr>
                <w:rFonts w:ascii="Times New Roman" w:hAnsi="Times New Roman"/>
                <w:sz w:val="17"/>
              </w:rPr>
              <w:t>237 (78.7%)</w:t>
            </w:r>
          </w:p>
        </w:tc>
        <w:tc>
          <w:tcPr>
            <w:tcW w:type="dxa" w:w="1337"/>
          </w:tcPr>
          <w:p>
            <w:r/>
            <w:r>
              <w:rPr>
                <w:rFonts w:ascii="Times New Roman" w:hAnsi="Times New Roman"/>
                <w:sz w:val="17"/>
              </w:rPr>
              <w:t>64 (21.3%)</w:t>
            </w:r>
          </w:p>
        </w:tc>
        <w:tc>
          <w:tcPr>
            <w:tcW w:type="dxa" w:w="1337"/>
          </w:tcPr>
          <w:p>
            <w:r/>
            <w:r>
              <w:rPr>
                <w:rFonts w:ascii="Times New Roman" w:hAnsi="Times New Roman"/>
                <w:sz w:val="17"/>
              </w:rPr>
              <w:t>78</w:t>
            </w:r>
          </w:p>
        </w:tc>
        <w:tc>
          <w:tcPr>
            <w:tcW w:type="dxa" w:w="1337"/>
          </w:tcPr>
          <w:p>
            <w:r/>
            <w:r>
              <w:rPr>
                <w:rFonts w:ascii="Times New Roman" w:hAnsi="Times New Roman"/>
                <w:sz w:val="17"/>
              </w:rPr>
              <w:t>76</w:t>
            </w:r>
          </w:p>
        </w:tc>
        <w:tc>
          <w:tcPr>
            <w:tcW w:type="dxa" w:w="1337"/>
          </w:tcPr>
          <w:p>
            <w:r/>
            <w:r>
              <w:rPr>
                <w:rFonts w:ascii="Times New Roman" w:hAnsi="Times New Roman"/>
                <w:sz w:val="17"/>
              </w:rPr>
              <w:t>83</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320</w:t>
            </w:r>
          </w:p>
        </w:tc>
        <w:tc>
          <w:tcPr>
            <w:tcW w:type="dxa" w:w="1337"/>
          </w:tcPr>
          <w:p>
            <w:r/>
            <w:r>
              <w:rPr>
                <w:rFonts w:ascii="Times New Roman" w:hAnsi="Times New Roman"/>
                <w:sz w:val="17"/>
              </w:rPr>
              <w:t>169 (52.8%)</w:t>
            </w:r>
          </w:p>
        </w:tc>
        <w:tc>
          <w:tcPr>
            <w:tcW w:type="dxa" w:w="1337"/>
          </w:tcPr>
          <w:p>
            <w:r/>
            <w:r>
              <w:rPr>
                <w:rFonts w:ascii="Times New Roman" w:hAnsi="Times New Roman"/>
                <w:sz w:val="17"/>
              </w:rPr>
              <w:t>151 (47.2%)</w:t>
            </w:r>
          </w:p>
        </w:tc>
        <w:tc>
          <w:tcPr>
            <w:tcW w:type="dxa" w:w="1337"/>
          </w:tcPr>
          <w:p>
            <w:r/>
            <w:r>
              <w:rPr>
                <w:rFonts w:ascii="Times New Roman" w:hAnsi="Times New Roman"/>
                <w:sz w:val="17"/>
              </w:rPr>
              <w:t>33</w:t>
            </w:r>
          </w:p>
        </w:tc>
        <w:tc>
          <w:tcPr>
            <w:tcW w:type="dxa" w:w="1337"/>
          </w:tcPr>
          <w:p>
            <w:r/>
            <w:r>
              <w:rPr>
                <w:rFonts w:ascii="Times New Roman" w:hAnsi="Times New Roman"/>
                <w:sz w:val="17"/>
              </w:rPr>
              <w:t>74</w:t>
            </w:r>
          </w:p>
        </w:tc>
        <w:tc>
          <w:tcPr>
            <w:tcW w:type="dxa" w:w="1337"/>
          </w:tcPr>
          <w:p>
            <w:r/>
            <w:r>
              <w:rPr>
                <w:rFonts w:ascii="Times New Roman" w:hAnsi="Times New Roman"/>
                <w:sz w:val="17"/>
              </w:rPr>
              <w:t>62</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119</w:t>
            </w:r>
          </w:p>
        </w:tc>
        <w:tc>
          <w:tcPr>
            <w:tcW w:type="dxa" w:w="1337"/>
          </w:tcPr>
          <w:p>
            <w:r/>
            <w:r>
              <w:rPr>
                <w:rFonts w:ascii="Times New Roman" w:hAnsi="Times New Roman"/>
                <w:sz w:val="17"/>
              </w:rPr>
              <w:t>64 (53.8%)</w:t>
            </w:r>
          </w:p>
        </w:tc>
        <w:tc>
          <w:tcPr>
            <w:tcW w:type="dxa" w:w="1337"/>
          </w:tcPr>
          <w:p>
            <w:r/>
            <w:r>
              <w:rPr>
                <w:rFonts w:ascii="Times New Roman" w:hAnsi="Times New Roman"/>
                <w:sz w:val="17"/>
              </w:rPr>
              <w:t>55 (46.2%)</w:t>
            </w:r>
          </w:p>
        </w:tc>
        <w:tc>
          <w:tcPr>
            <w:tcW w:type="dxa" w:w="1337"/>
          </w:tcPr>
          <w:p>
            <w:r/>
            <w:r>
              <w:rPr>
                <w:rFonts w:ascii="Times New Roman" w:hAnsi="Times New Roman"/>
                <w:sz w:val="17"/>
              </w:rPr>
              <w:t>15</w:t>
            </w:r>
          </w:p>
        </w:tc>
        <w:tc>
          <w:tcPr>
            <w:tcW w:type="dxa" w:w="1337"/>
          </w:tcPr>
          <w:p>
            <w:r/>
            <w:r>
              <w:rPr>
                <w:rFonts w:ascii="Times New Roman" w:hAnsi="Times New Roman"/>
                <w:sz w:val="17"/>
              </w:rPr>
              <w:t>17</w:t>
            </w:r>
          </w:p>
        </w:tc>
        <w:tc>
          <w:tcPr>
            <w:tcW w:type="dxa" w:w="1337"/>
          </w:tcPr>
          <w:p>
            <w:r/>
            <w:r>
              <w:rPr>
                <w:rFonts w:ascii="Times New Roman" w:hAnsi="Times New Roman"/>
                <w:sz w:val="17"/>
              </w:rPr>
              <w:t>32</w:t>
            </w:r>
          </w:p>
        </w:tc>
      </w:tr>
      <w:tr>
        <w:tc>
          <w:tcPr>
            <w:tcW w:type="dxa" w:w="1337"/>
          </w:tcPr>
          <w:p>
            <w:r/>
            <w:r>
              <w:rPr>
                <w:rFonts w:ascii="Times New Roman" w:hAnsi="Times New Roman"/>
                <w:sz w:val="17"/>
              </w:rPr>
              <w:t>All three</w:t>
            </w:r>
          </w:p>
        </w:tc>
        <w:tc>
          <w:tcPr>
            <w:tcW w:type="dxa" w:w="1337"/>
          </w:tcPr>
          <w:p>
            <w:r/>
            <w:r>
              <w:rPr>
                <w:rFonts w:ascii="Times New Roman" w:hAnsi="Times New Roman"/>
                <w:sz w:val="17"/>
              </w:rPr>
              <w:t>740</w:t>
            </w:r>
          </w:p>
        </w:tc>
        <w:tc>
          <w:tcPr>
            <w:tcW w:type="dxa" w:w="1337"/>
          </w:tcPr>
          <w:p>
            <w:r/>
            <w:r>
              <w:rPr>
                <w:rFonts w:ascii="Times New Roman" w:hAnsi="Times New Roman"/>
                <w:sz w:val="17"/>
              </w:rPr>
              <w:t>470</w:t>
            </w:r>
          </w:p>
        </w:tc>
        <w:tc>
          <w:tcPr>
            <w:tcW w:type="dxa" w:w="1337"/>
          </w:tcPr>
          <w:p>
            <w:r/>
            <w:r>
              <w:rPr>
                <w:rFonts w:ascii="Times New Roman" w:hAnsi="Times New Roman"/>
                <w:sz w:val="17"/>
              </w:rPr>
              <w:t>270</w:t>
            </w:r>
          </w:p>
        </w:tc>
        <w:tc>
          <w:tcPr>
            <w:tcW w:type="dxa" w:w="1337"/>
          </w:tcPr>
          <w:p>
            <w:r/>
            <w:r>
              <w:rPr>
                <w:rFonts w:ascii="Times New Roman" w:hAnsi="Times New Roman"/>
                <w:sz w:val="17"/>
              </w:rPr>
              <w:t>128</w:t>
            </w:r>
          </w:p>
        </w:tc>
        <w:tc>
          <w:tcPr>
            <w:tcW w:type="dxa" w:w="1337"/>
          </w:tcPr>
          <w:p>
            <w:r/>
            <w:r>
              <w:rPr>
                <w:rFonts w:ascii="Times New Roman" w:hAnsi="Times New Roman"/>
                <w:sz w:val="17"/>
              </w:rPr>
              <w:t>168</w:t>
            </w:r>
          </w:p>
        </w:tc>
        <w:tc>
          <w:tcPr>
            <w:tcW w:type="dxa" w:w="1337"/>
          </w:tcPr>
          <w:p>
            <w:r/>
            <w:r>
              <w:rPr>
                <w:rFonts w:ascii="Times New Roman" w:hAnsi="Times New Roman"/>
                <w:sz w:val="17"/>
              </w:rPr>
              <w:t>177</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