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an audit of 740 preoperative index examinations in 410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0.30 (0.22–0.42)</w:t>
            </w:r>
          </w:p>
        </w:tc>
        <w:tc>
          <w:tcPr>
            <w:tcW w:type="dxa" w:w="2340"/>
          </w:tcPr>
          <w:p>
            <w:r/>
            <w:r>
              <w:rPr>
                <w:rFonts w:ascii="Times New Roman" w:hAnsi="Times New Roman"/>
                <w:sz w:val="17"/>
              </w:rPr>
              <w:t>0.29 (0.20–0.40)</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0.32 (0.21–0.48)</w:t>
            </w:r>
          </w:p>
        </w:tc>
        <w:tc>
          <w:tcPr>
            <w:tcW w:type="dxa" w:w="2340"/>
          </w:tcPr>
          <w:p>
            <w:r/>
            <w:r>
              <w:rPr>
                <w:rFonts w:ascii="Times New Roman" w:hAnsi="Times New Roman"/>
                <w:sz w:val="17"/>
              </w:rPr>
              <w:t>0.26 (0.17–0.42)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1.75 (1.18–2.62)</w:t>
            </w:r>
          </w:p>
        </w:tc>
        <w:tc>
          <w:tcPr>
            <w:tcW w:type="dxa" w:w="2340"/>
          </w:tcPr>
          <w:p>
            <w:r/>
            <w:r>
              <w:rPr>
                <w:rFonts w:ascii="Times New Roman" w:hAnsi="Times New Roman"/>
                <w:sz w:val="17"/>
              </w:rPr>
              <w:t>0.006</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1.05 (0.67–1.65)</w:t>
            </w:r>
          </w:p>
        </w:tc>
        <w:tc>
          <w:tcPr>
            <w:tcW w:type="dxa" w:w="2340"/>
          </w:tcPr>
          <w:p>
            <w:r/>
            <w:r>
              <w:rPr>
                <w:rFonts w:ascii="Times New Roman" w:hAnsi="Times New Roman"/>
                <w:sz w:val="17"/>
              </w:rPr>
              <w:t>0.822</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3.02 (1.64–5.54)</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0.99 (95% CI 0.36–2.70, p=0.98),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27/59 (45.8; 33.7–58.3)</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Ultrasound whirlpool sign, n/N (%; 95% CI)</w:t>
            </w:r>
          </w:p>
        </w:tc>
        <w:tc>
          <w:tcPr>
            <w:tcW w:type="dxa" w:w="2340"/>
          </w:tcPr>
          <w:p>
            <w:r/>
            <w:r>
              <w:rPr>
                <w:rFonts w:ascii="Times New Roman" w:hAnsi="Times New Roman"/>
                <w:sz w:val="17"/>
              </w:rPr>
              <w:t>30/59 (50.8; 38.4–63.2)</w:t>
            </w:r>
          </w:p>
        </w:tc>
        <w:tc>
          <w:tcPr>
            <w:tcW w:type="dxa" w:w="2340"/>
          </w:tcPr>
          <w:p>
            <w:r/>
            <w:r>
              <w:rPr>
                <w:rFonts w:ascii="Times New Roman" w:hAnsi="Times New Roman"/>
                <w:sz w:val="17"/>
              </w:rPr>
              <w:t>27/47 (57.4; 43.3–70.5)</w:t>
            </w:r>
          </w:p>
        </w:tc>
        <w:tc>
          <w:tcPr>
            <w:tcW w:type="dxa" w:w="2340"/>
          </w:tcPr>
          <w:p>
            <w:r/>
            <w:r>
              <w:rPr>
                <w:rFonts w:ascii="Times New Roman" w:hAnsi="Times New Roman"/>
                <w:sz w:val="17"/>
              </w:rPr>
              <w:t>19/31 (61.3; 43.8–76.3)</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&lt;0.001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24/6, p=0.001</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7/11, p=0.481</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148/281</w:t>
            </w:r>
          </w:p>
        </w:tc>
        <w:tc>
          <w:tcPr>
            <w:tcW w:type="dxa" w:w="2340"/>
          </w:tcPr>
          <w:p>
            <w:r/>
            <w:r>
              <w:rPr>
                <w:rFonts w:ascii="Times New Roman" w:hAnsi="Times New Roman"/>
                <w:sz w:val="17"/>
              </w:rPr>
              <w:t>52.7 (46.8–58.4)</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21/39</w:t>
            </w:r>
          </w:p>
        </w:tc>
        <w:tc>
          <w:tcPr>
            <w:tcW w:type="dxa" w:w="2340"/>
          </w:tcPr>
          <w:p>
            <w:r/>
            <w:r>
              <w:rPr>
                <w:rFonts w:ascii="Times New Roman" w:hAnsi="Times New Roman"/>
                <w:sz w:val="17"/>
              </w:rPr>
              <w:t>53.8 (38.6–68.4)</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21/44</w:t>
            </w:r>
          </w:p>
        </w:tc>
        <w:tc>
          <w:tcPr>
            <w:tcW w:type="dxa" w:w="2340"/>
          </w:tcPr>
          <w:p>
            <w:r/>
            <w:r>
              <w:rPr>
                <w:rFonts w:ascii="Times New Roman" w:hAnsi="Times New Roman"/>
                <w:sz w:val="17"/>
              </w:rPr>
              <w:t>47.7 (33.8–62.1)</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45/54</w:t>
            </w:r>
          </w:p>
        </w:tc>
        <w:tc>
          <w:tcPr>
            <w:tcW w:type="dxa" w:w="2340"/>
          </w:tcPr>
          <w:p>
            <w:r/>
            <w:r>
              <w:rPr>
                <w:rFonts w:ascii="Times New Roman" w:hAnsi="Times New Roman"/>
                <w:sz w:val="17"/>
              </w:rPr>
              <w:t>83.3 (71.3–91.0)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64/113</w:t>
            </w:r>
          </w:p>
        </w:tc>
        <w:tc>
          <w:tcPr>
            <w:tcW w:type="dxa" w:w="2340"/>
          </w:tcPr>
          <w:p>
            <w:r/>
            <w:r>
              <w:rPr>
                <w:rFonts w:ascii="Times New Roman" w:hAnsi="Times New Roman"/>
                <w:sz w:val="17"/>
              </w:rPr>
              <w:t>56.6 (47.4–65.4)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50/90</w:t>
            </w:r>
          </w:p>
        </w:tc>
        <w:tc>
          <w:tcPr>
            <w:tcW w:type="dxa" w:w="2340"/>
          </w:tcPr>
          <w:p>
            <w:r/>
            <w:r>
              <w:rPr>
                <w:rFonts w:ascii="Times New Roman" w:hAnsi="Times New Roman"/>
                <w:sz w:val="17"/>
              </w:rPr>
              <w:t>55.6 (45.3–65.4)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midgut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Upper gastrointestinal series</w:t>
            </w:r>
          </w:p>
        </w:tc>
        <w:tc>
          <w:tcPr>
            <w:tcW w:type="dxa" w:w="3120"/>
          </w:tcPr>
          <w:p>
            <w:r/>
            <w:r>
              <w:rPr>
                <w:rFonts w:ascii="Times New Roman" w:hAnsi="Times New Roman"/>
                <w:sz w:val="17"/>
              </w:rPr>
              <w:t>129/268</w:t>
            </w:r>
          </w:p>
        </w:tc>
        <w:tc>
          <w:tcPr>
            <w:tcW w:type="dxa" w:w="3120"/>
          </w:tcPr>
          <w:p>
            <w:r/>
            <w:r>
              <w:rPr>
                <w:rFonts w:ascii="Times New Roman" w:hAnsi="Times New Roman"/>
                <w:sz w:val="17"/>
              </w:rPr>
              <w:t>48.1 (42.2–54.1)</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58/113</w:t>
            </w:r>
          </w:p>
        </w:tc>
        <w:tc>
          <w:tcPr>
            <w:tcW w:type="dxa" w:w="3120"/>
          </w:tcPr>
          <w:p>
            <w:r/>
            <w:r>
              <w:rPr>
                <w:rFonts w:ascii="Times New Roman" w:hAnsi="Times New Roman"/>
                <w:sz w:val="17"/>
              </w:rPr>
              <w:t>51.3 (42.2–60.3)</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104/281</w:t>
            </w:r>
          </w:p>
        </w:tc>
        <w:tc>
          <w:tcPr>
            <w:tcW w:type="dxa" w:w="3120"/>
          </w:tcPr>
          <w:p>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harmonised rule used here is the one implemented in `Online_Resource_1_classifier.py` and in the audit script.</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3.44–4.31, all p≤0.003) and the adjusted era term is non-significant at every boundary. The temporal claim in the manuscript therefore does not depend on where the boundary is placed, and the crude era difference alone does not survive a boundary chosen to match the department's own account.</w:t>
      </w:r>
    </w:p>
    <w:p>
      <w:pPr>
        <w:spacing w:after="160"/>
      </w:pPr>
      <w:r>
        <w:rPr>
          <w:b/>
        </w:rPr>
        <w:t>Table S8. Ultrasound temporal model with the era boundary placed at 2019, 2020, 2021 and 2022</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Era boundary</w:t>
            </w:r>
          </w:p>
        </w:tc>
        <w:tc>
          <w:tcPr>
            <w:tcW w:type="dxa" w:w="1337"/>
          </w:tcPr>
          <w:p>
            <w:r/>
            <w:r>
              <w:rPr>
                <w:rFonts w:ascii="Times New Roman" w:hAnsi="Times New Roman"/>
                <w:b/>
                <w:sz w:val="17"/>
              </w:rPr>
              <w:t>Examinations before / after</w:t>
            </w:r>
          </w:p>
        </w:tc>
        <w:tc>
          <w:tcPr>
            <w:tcW w:type="dxa" w:w="1337"/>
          </w:tcPr>
          <w:p>
            <w:r/>
            <w:r>
              <w:rPr>
                <w:rFonts w:ascii="Times New Roman" w:hAnsi="Times New Roman"/>
                <w:b/>
                <w:sz w:val="17"/>
              </w:rPr>
              <w:t>Detection before / after</w:t>
            </w:r>
          </w:p>
        </w:tc>
        <w:tc>
          <w:tcPr>
            <w:tcW w:type="dxa" w:w="1337"/>
          </w:tcPr>
          <w:p>
            <w:r/>
            <w:r>
              <w:rPr>
                <w:rFonts w:ascii="Times New Roman" w:hAnsi="Times New Roman"/>
                <w:b/>
                <w:sz w:val="17"/>
              </w:rPr>
              <w:t>Era odds ratio</w:t>
            </w:r>
          </w:p>
        </w:tc>
        <w:tc>
          <w:tcPr>
            <w:tcW w:type="dxa" w:w="1337"/>
          </w:tcPr>
          <w:p>
            <w:r/>
            <w:r>
              <w:rPr>
                <w:rFonts w:ascii="Times New Roman" w:hAnsi="Times New Roman"/>
                <w:b/>
                <w:sz w:val="17"/>
              </w:rPr>
              <w:t>Era odds ratio adjusted for examination type</w:t>
            </w:r>
          </w:p>
        </w:tc>
        <w:tc>
          <w:tcPr>
            <w:tcW w:type="dxa" w:w="1337"/>
          </w:tcPr>
          <w:p>
            <w:r/>
            <w:r>
              <w:rPr>
                <w:rFonts w:ascii="Times New Roman" w:hAnsi="Times New Roman"/>
                <w:b/>
                <w:sz w:val="17"/>
              </w:rPr>
              <w:t>Examination-type odds ratio</w:t>
            </w:r>
          </w:p>
        </w:tc>
        <w:tc>
          <w:tcPr>
            <w:tcW w:type="dxa" w:w="1337"/>
          </w:tcPr>
          <w:p>
            <w:r/>
            <w:r>
              <w:rPr>
                <w:rFonts w:ascii="Times New Roman" w:hAnsi="Times New Roman"/>
                <w:b/>
                <w:sz w:val="17"/>
              </w:rPr>
              <w:t>Average marginal effect of later era (crude → adjusted)</w:t>
            </w:r>
          </w:p>
        </w:tc>
      </w:tr>
      <w:tr>
        <w:tc>
          <w:tcPr>
            <w:tcW w:type="dxa" w:w="1337"/>
          </w:tcPr>
          <w:p>
            <w:r/>
            <w:r>
              <w:rPr>
                <w:rFonts w:ascii="Times New Roman" w:hAnsi="Times New Roman"/>
                <w:sz w:val="17"/>
              </w:rPr>
              <w:t>2019</w:t>
            </w:r>
          </w:p>
        </w:tc>
        <w:tc>
          <w:tcPr>
            <w:tcW w:type="dxa" w:w="1337"/>
          </w:tcPr>
          <w:p>
            <w:r/>
            <w:r>
              <w:rPr>
                <w:rFonts w:ascii="Times New Roman" w:hAnsi="Times New Roman"/>
                <w:sz w:val="17"/>
              </w:rPr>
              <w:t>39 / 80</w:t>
            </w:r>
          </w:p>
        </w:tc>
        <w:tc>
          <w:tcPr>
            <w:tcW w:type="dxa" w:w="1337"/>
          </w:tcPr>
          <w:p>
            <w:r/>
            <w:r>
              <w:rPr>
                <w:rFonts w:ascii="Times New Roman" w:hAnsi="Times New Roman"/>
                <w:sz w:val="17"/>
              </w:rPr>
              <w:t>16/39 (41.0%) / 48/80 (60.0%)</w:t>
            </w:r>
          </w:p>
        </w:tc>
        <w:tc>
          <w:tcPr>
            <w:tcW w:type="dxa" w:w="1337"/>
          </w:tcPr>
          <w:p>
            <w:r/>
            <w:r>
              <w:rPr>
                <w:rFonts w:ascii="Times New Roman" w:hAnsi="Times New Roman"/>
                <w:sz w:val="17"/>
              </w:rPr>
              <w:t>2.16 (0.99–4.70), p=0.053</w:t>
            </w:r>
          </w:p>
        </w:tc>
        <w:tc>
          <w:tcPr>
            <w:tcW w:type="dxa" w:w="1337"/>
          </w:tcPr>
          <w:p>
            <w:r/>
            <w:r>
              <w:rPr>
                <w:rFonts w:ascii="Times New Roman" w:hAnsi="Times New Roman"/>
                <w:sz w:val="17"/>
              </w:rPr>
              <w:t>1.44 (0.62–3.37), p=0.399</w:t>
            </w:r>
          </w:p>
        </w:tc>
        <w:tc>
          <w:tcPr>
            <w:tcW w:type="dxa" w:w="1337"/>
          </w:tcPr>
          <w:p>
            <w:r/>
            <w:r>
              <w:rPr>
                <w:rFonts w:ascii="Times New Roman" w:hAnsi="Times New Roman"/>
                <w:sz w:val="17"/>
              </w:rPr>
              <w:t>3.73 (1.67–8.33), p=0.001</w:t>
            </w:r>
          </w:p>
        </w:tc>
        <w:tc>
          <w:tcPr>
            <w:tcW w:type="dxa" w:w="1337"/>
          </w:tcPr>
          <w:p>
            <w:r/>
            <w:r>
              <w:rPr>
                <w:rFonts w:ascii="Times New Roman" w:hAnsi="Times New Roman"/>
                <w:sz w:val="17"/>
              </w:rPr>
              <w:t>+19.0 → +8.2 pp</w:t>
            </w:r>
          </w:p>
        </w:tc>
      </w:tr>
      <w:tr>
        <w:tc>
          <w:tcPr>
            <w:tcW w:type="dxa" w:w="1337"/>
          </w:tcPr>
          <w:p>
            <w:r/>
            <w:r>
              <w:rPr>
                <w:rFonts w:ascii="Times New Roman" w:hAnsi="Times New Roman"/>
                <w:sz w:val="17"/>
              </w:rPr>
              <w:t>2020</w:t>
            </w:r>
          </w:p>
        </w:tc>
        <w:tc>
          <w:tcPr>
            <w:tcW w:type="dxa" w:w="1337"/>
          </w:tcPr>
          <w:p>
            <w:r/>
            <w:r>
              <w:rPr>
                <w:rFonts w:ascii="Times New Roman" w:hAnsi="Times New Roman"/>
                <w:sz w:val="17"/>
              </w:rPr>
              <w:t>44 / 75</w:t>
            </w:r>
          </w:p>
        </w:tc>
        <w:tc>
          <w:tcPr>
            <w:tcW w:type="dxa" w:w="1337"/>
          </w:tcPr>
          <w:p>
            <w:r/>
            <w:r>
              <w:rPr>
                <w:rFonts w:ascii="Times New Roman" w:hAnsi="Times New Roman"/>
                <w:sz w:val="17"/>
              </w:rPr>
              <w:t>17/44 (38.6%) / 47/75 (62.7%)</w:t>
            </w:r>
          </w:p>
        </w:tc>
        <w:tc>
          <w:tcPr>
            <w:tcW w:type="dxa" w:w="1337"/>
          </w:tcPr>
          <w:p>
            <w:r/>
            <w:r>
              <w:rPr>
                <w:rFonts w:ascii="Times New Roman" w:hAnsi="Times New Roman"/>
                <w:sz w:val="17"/>
              </w:rPr>
              <w:t>2.67 (1.24–5.74), p=0.012</w:t>
            </w:r>
          </w:p>
        </w:tc>
        <w:tc>
          <w:tcPr>
            <w:tcW w:type="dxa" w:w="1337"/>
          </w:tcPr>
          <w:p>
            <w:r/>
            <w:r>
              <w:rPr>
                <w:rFonts w:ascii="Times New Roman" w:hAnsi="Times New Roman"/>
                <w:sz w:val="17"/>
              </w:rPr>
              <w:t>1.74 (0.75–4.04), p=0.193</w:t>
            </w:r>
          </w:p>
        </w:tc>
        <w:tc>
          <w:tcPr>
            <w:tcW w:type="dxa" w:w="1337"/>
          </w:tcPr>
          <w:p>
            <w:r/>
            <w:r>
              <w:rPr>
                <w:rFonts w:ascii="Times New Roman" w:hAnsi="Times New Roman"/>
                <w:sz w:val="17"/>
              </w:rPr>
              <w:t>3.44 (1.52–7.77), p=0.003</w:t>
            </w:r>
          </w:p>
        </w:tc>
        <w:tc>
          <w:tcPr>
            <w:tcW w:type="dxa" w:w="1337"/>
          </w:tcPr>
          <w:p>
            <w:r/>
            <w:r>
              <w:rPr>
                <w:rFonts w:ascii="Times New Roman" w:hAnsi="Times New Roman"/>
                <w:sz w:val="17"/>
              </w:rPr>
              <w:t>+24.0 → +12.6 pp</w:t>
            </w:r>
          </w:p>
        </w:tc>
      </w:tr>
      <w:tr>
        <w:tc>
          <w:tcPr>
            <w:tcW w:type="dxa" w:w="1337"/>
          </w:tcPr>
          <w:p>
            <w:r/>
            <w:r>
              <w:rPr>
                <w:rFonts w:ascii="Times New Roman" w:hAnsi="Times New Roman"/>
                <w:sz w:val="17"/>
              </w:rPr>
              <w:t>2021</w:t>
            </w:r>
          </w:p>
        </w:tc>
        <w:tc>
          <w:tcPr>
            <w:tcW w:type="dxa" w:w="1337"/>
          </w:tcPr>
          <w:p>
            <w:r/>
            <w:r>
              <w:rPr>
                <w:rFonts w:ascii="Times New Roman" w:hAnsi="Times New Roman"/>
                <w:sz w:val="17"/>
              </w:rPr>
              <w:t>62 / 57</w:t>
            </w:r>
          </w:p>
        </w:tc>
        <w:tc>
          <w:tcPr>
            <w:tcW w:type="dxa" w:w="1337"/>
          </w:tcPr>
          <w:p>
            <w:r/>
            <w:r>
              <w:rPr>
                <w:rFonts w:ascii="Times New Roman" w:hAnsi="Times New Roman"/>
                <w:sz w:val="17"/>
              </w:rPr>
              <w:t>29/62 (46.8%) / 35/57 (61.4%)</w:t>
            </w:r>
          </w:p>
        </w:tc>
        <w:tc>
          <w:tcPr>
            <w:tcW w:type="dxa" w:w="1337"/>
          </w:tcPr>
          <w:p>
            <w:r/>
            <w:r>
              <w:rPr>
                <w:rFonts w:ascii="Times New Roman" w:hAnsi="Times New Roman"/>
                <w:sz w:val="17"/>
              </w:rPr>
              <w:t>1.81 (0.87–3.76), p=0.111</w:t>
            </w:r>
          </w:p>
        </w:tc>
        <w:tc>
          <w:tcPr>
            <w:tcW w:type="dxa" w:w="1337"/>
          </w:tcPr>
          <w:p>
            <w:r/>
            <w:r>
              <w:rPr>
                <w:rFonts w:ascii="Times New Roman" w:hAnsi="Times New Roman"/>
                <w:sz w:val="17"/>
              </w:rPr>
              <w:t>1.18 (0.53–2.65), p=0.686</w:t>
            </w:r>
          </w:p>
        </w:tc>
        <w:tc>
          <w:tcPr>
            <w:tcW w:type="dxa" w:w="1337"/>
          </w:tcPr>
          <w:p>
            <w:r/>
            <w:r>
              <w:rPr>
                <w:rFonts w:ascii="Times New Roman" w:hAnsi="Times New Roman"/>
                <w:sz w:val="17"/>
              </w:rPr>
              <w:t>3.92 (1.74–8.82), p&lt;0.001</w:t>
            </w:r>
          </w:p>
        </w:tc>
        <w:tc>
          <w:tcPr>
            <w:tcW w:type="dxa" w:w="1337"/>
          </w:tcPr>
          <w:p>
            <w:r/>
            <w:r>
              <w:rPr>
                <w:rFonts w:ascii="Times New Roman" w:hAnsi="Times New Roman"/>
                <w:sz w:val="17"/>
              </w:rPr>
              <w:t>+14.6 → +3.7 pp</w:t>
            </w:r>
          </w:p>
        </w:tc>
      </w:tr>
      <w:tr>
        <w:tc>
          <w:tcPr>
            <w:tcW w:type="dxa" w:w="1337"/>
          </w:tcPr>
          <w:p>
            <w:r/>
            <w:r>
              <w:rPr>
                <w:rFonts w:ascii="Times New Roman" w:hAnsi="Times New Roman"/>
                <w:sz w:val="17"/>
              </w:rPr>
              <w:t>2022</w:t>
            </w:r>
          </w:p>
        </w:tc>
        <w:tc>
          <w:tcPr>
            <w:tcW w:type="dxa" w:w="1337"/>
          </w:tcPr>
          <w:p>
            <w:r/>
            <w:r>
              <w:rPr>
                <w:rFonts w:ascii="Times New Roman" w:hAnsi="Times New Roman"/>
                <w:sz w:val="17"/>
              </w:rPr>
              <w:t>76 / 43</w:t>
            </w:r>
          </w:p>
        </w:tc>
        <w:tc>
          <w:tcPr>
            <w:tcW w:type="dxa" w:w="1337"/>
          </w:tcPr>
          <w:p>
            <w:r/>
            <w:r>
              <w:rPr>
                <w:rFonts w:ascii="Times New Roman" w:hAnsi="Times New Roman"/>
                <w:sz w:val="17"/>
              </w:rPr>
              <w:t>40/76 (52.6%) / 24/43 (55.8%)</w:t>
            </w:r>
          </w:p>
        </w:tc>
        <w:tc>
          <w:tcPr>
            <w:tcW w:type="dxa" w:w="1337"/>
          </w:tcPr>
          <w:p>
            <w:r/>
            <w:r>
              <w:rPr>
                <w:rFonts w:ascii="Times New Roman" w:hAnsi="Times New Roman"/>
                <w:sz w:val="17"/>
              </w:rPr>
              <w:t>1.14 (0.54–2.41), p=0.738</w:t>
            </w:r>
          </w:p>
        </w:tc>
        <w:tc>
          <w:tcPr>
            <w:tcW w:type="dxa" w:w="1337"/>
          </w:tcPr>
          <w:p>
            <w:r/>
            <w:r>
              <w:rPr>
                <w:rFonts w:ascii="Times New Roman" w:hAnsi="Times New Roman"/>
                <w:sz w:val="17"/>
              </w:rPr>
              <w:t>0.83 (0.36–1.88), p=0.648</w:t>
            </w:r>
          </w:p>
        </w:tc>
        <w:tc>
          <w:tcPr>
            <w:tcW w:type="dxa" w:w="1337"/>
          </w:tcPr>
          <w:p>
            <w:r/>
            <w:r>
              <w:rPr>
                <w:rFonts w:ascii="Times New Roman" w:hAnsi="Times New Roman"/>
                <w:sz w:val="17"/>
              </w:rPr>
              <w:t>4.31 (1.95–9.52), p&lt;0.001</w:t>
            </w:r>
          </w:p>
        </w:tc>
        <w:tc>
          <w:tcPr>
            <w:tcW w:type="dxa" w:w="1337"/>
          </w:tcPr>
          <w:p>
            <w:r/>
            <w:r>
              <w:rPr>
                <w:rFonts w:ascii="Times New Roman" w:hAnsi="Times New Roman"/>
                <w:sz w:val="17"/>
              </w:rPr>
              <w:t>+3.2 → -4.2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about half of the era difference at the 2019 and 2020 boundaries and for most of it at 2021 and 2022.</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Documented content</w:t>
            </w:r>
          </w:p>
        </w:tc>
        <w:tc>
          <w:tcPr>
            <w:tcW w:type="dxa" w:w="3120"/>
          </w:tcPr>
          <w:p>
            <w:r/>
            <w:r>
              <w:rPr>
                <w:rFonts w:ascii="Times New Roman" w:hAnsi="Times New Roman"/>
                <w:b/>
                <w:sz w:val="17"/>
              </w:rPr>
              <w:t>Closest preoperative episode (primary)</w:t>
            </w:r>
          </w:p>
        </w:tc>
        <w:tc>
          <w:tcPr>
            <w:tcW w:type="dxa" w:w="3120"/>
          </w:tcPr>
          <w:p>
            <w:r/>
            <w:r>
              <w:rPr>
                <w:rFonts w:ascii="Times New Roman" w:hAnsi="Times New Roman"/>
                <w:b/>
                <w:sz w:val="17"/>
              </w:rPr>
              <w:t>Earliest preoperative episode</w:t>
            </w:r>
          </w:p>
        </w:tc>
      </w:tr>
      <w:tr>
        <w:tc>
          <w:tcPr>
            <w:tcW w:type="dxa" w:w="3120"/>
          </w:tcPr>
          <w:p>
            <w:r/>
            <w:r>
              <w:rPr>
                <w:rFonts w:ascii="Times New Roman" w:hAnsi="Times New Roman"/>
                <w:sz w:val="17"/>
              </w:rPr>
              <w:t>D3 or duodenojejunal junction</w:t>
            </w:r>
          </w:p>
        </w:tc>
        <w:tc>
          <w:tcPr>
            <w:tcW w:type="dxa" w:w="3120"/>
          </w:tcPr>
          <w:p>
            <w:r/>
            <w:r>
              <w:rPr>
                <w:rFonts w:ascii="Times New Roman" w:hAnsi="Times New Roman"/>
                <w:sz w:val="17"/>
              </w:rPr>
              <w:t>3/119 (2.5%)</w:t>
            </w:r>
          </w:p>
        </w:tc>
        <w:tc>
          <w:tcPr>
            <w:tcW w:type="dxa" w:w="3120"/>
          </w:tcPr>
          <w:p>
            <w:r/>
            <w:r>
              <w:rPr>
                <w:rFonts w:ascii="Times New Roman" w:hAnsi="Times New Roman"/>
                <w:sz w:val="17"/>
              </w:rPr>
              <w:t>3/119 (2.5%)</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12/119 (10.1%)</w:t>
            </w:r>
          </w:p>
        </w:tc>
        <w:tc>
          <w:tcPr>
            <w:tcW w:type="dxa" w:w="3120"/>
          </w:tcPr>
          <w:p>
            <w:r/>
            <w:r>
              <w:rPr>
                <w:rFonts w:ascii="Times New Roman" w:hAnsi="Times New Roman"/>
                <w:sz w:val="17"/>
              </w:rPr>
              <w:t>12/119 (10.1%)</w:t>
            </w:r>
          </w:p>
        </w:tc>
      </w:tr>
      <w:tr>
        <w:tc>
          <w:tcPr>
            <w:tcW w:type="dxa" w:w="3120"/>
          </w:tcPr>
          <w:p>
            <w:r/>
            <w:r>
              <w:rPr>
                <w:rFonts w:ascii="Times New Roman" w:hAnsi="Times New Roman"/>
                <w:sz w:val="17"/>
              </w:rPr>
              <w:t>Enteric fluid administration</w:t>
            </w:r>
          </w:p>
        </w:tc>
        <w:tc>
          <w:tcPr>
            <w:tcW w:type="dxa" w:w="3120"/>
          </w:tcPr>
          <w:p>
            <w:r/>
            <w:r>
              <w:rPr>
                <w:rFonts w:ascii="Times New Roman" w:hAnsi="Times New Roman"/>
                <w:sz w:val="17"/>
              </w:rPr>
              <w:t>2/119 (1.7%)</w:t>
            </w:r>
          </w:p>
        </w:tc>
        <w:tc>
          <w:tcPr>
            <w:tcW w:type="dxa" w:w="3120"/>
          </w:tcPr>
          <w:p>
            <w:r/>
            <w:r>
              <w:rPr>
                <w:rFonts w:ascii="Times New Roman" w:hAnsi="Times New Roman"/>
                <w:sz w:val="17"/>
              </w:rPr>
              <w:t>1/119 (0.8%)</w:t>
            </w:r>
          </w:p>
        </w:tc>
      </w:tr>
      <w:tr>
        <w:tc>
          <w:tcPr>
            <w:tcW w:type="dxa" w:w="3120"/>
          </w:tcPr>
          <w:p>
            <w:r/>
            <w:r>
              <w:rPr>
                <w:rFonts w:ascii="Times New Roman" w:hAnsi="Times New Roman"/>
                <w:sz w:val="17"/>
              </w:rPr>
              <w:t>Whirlpool, swirl or spiral appearance reported</w:t>
            </w:r>
          </w:p>
        </w:tc>
        <w:tc>
          <w:tcPr>
            <w:tcW w:type="dxa" w:w="3120"/>
          </w:tcPr>
          <w:p>
            <w:r/>
            <w:r>
              <w:rPr>
                <w:rFonts w:ascii="Times New Roman" w:hAnsi="Times New Roman"/>
                <w:sz w:val="17"/>
              </w:rPr>
              <w:t>58/119 (48.7%)</w:t>
            </w:r>
          </w:p>
        </w:tc>
        <w:tc>
          <w:tcPr>
            <w:tcW w:type="dxa" w:w="3120"/>
          </w:tcPr>
          <w:p>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403 children with volvulus, 327 had a stated degree (308 of at least 360° and 19 of 90–270°) and 76 had a torsion statement with no angle recorded. Table S10 tightens the definition in two ways: excluding only the 19 children whose record states a rotation below 360°, and additionally requiring a stated degree, which also excludes the 76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Definition of midgut volvulus</w:t>
            </w:r>
          </w:p>
        </w:tc>
        <w:tc>
          <w:tcPr>
            <w:tcW w:type="dxa" w:w="2340"/>
          </w:tcPr>
          <w:p>
            <w:r/>
            <w:r>
              <w:rPr>
                <w:rFonts w:ascii="Times New Roman" w:hAnsi="Times New Roman"/>
                <w:b/>
                <w:sz w:val="17"/>
              </w:rPr>
              <w:t>Whole cohort</w:t>
            </w:r>
          </w:p>
        </w:tc>
        <w:tc>
          <w:tcPr>
            <w:tcW w:type="dxa" w:w="2340"/>
          </w:tcPr>
          <w:p>
            <w:r/>
            <w:r>
              <w:rPr>
                <w:rFonts w:ascii="Times New Roman" w:hAnsi="Times New Roman"/>
                <w:b/>
                <w:sz w:val="17"/>
              </w:rPr>
              <w:t>Children who underwent ultrasound</w:t>
            </w:r>
          </w:p>
        </w:tc>
        <w:tc>
          <w:tcPr>
            <w:tcW w:type="dxa" w:w="2340"/>
          </w:tcPr>
          <w:p>
            <w:r/>
            <w:r>
              <w:rPr>
                <w:rFonts w:ascii="Times New Roman" w:hAnsi="Times New Roman"/>
                <w:b/>
                <w:sz w:val="17"/>
              </w:rPr>
              <w:t>Whirlpool reported among those with volvulus</w:t>
            </w:r>
          </w:p>
        </w:tc>
      </w:tr>
      <w:tr>
        <w:tc>
          <w:tcPr>
            <w:tcW w:type="dxa" w:w="2340"/>
          </w:tcPr>
          <w:p>
            <w:r/>
            <w:r>
              <w:rPr>
                <w:rFonts w:ascii="Times New Roman" w:hAnsi="Times New Roman"/>
                <w:sz w:val="17"/>
              </w:rPr>
              <w:t>Explicit operative statement of torsion, or any documented degree of rotation (primary)</w:t>
            </w:r>
          </w:p>
        </w:tc>
        <w:tc>
          <w:tcPr>
            <w:tcW w:type="dxa" w:w="2340"/>
          </w:tcPr>
          <w:p>
            <w:r/>
            <w:r>
              <w:rPr>
                <w:rFonts w:ascii="Times New Roman" w:hAnsi="Times New Roman"/>
                <w:sz w:val="17"/>
              </w:rPr>
              <w:t>403/465 (86.7%)</w:t>
            </w:r>
          </w:p>
        </w:tc>
        <w:tc>
          <w:tcPr>
            <w:tcW w:type="dxa" w:w="2340"/>
          </w:tcPr>
          <w:p>
            <w:r/>
            <w:r>
              <w:rPr>
                <w:rFonts w:ascii="Times New Roman" w:hAnsi="Times New Roman"/>
                <w:sz w:val="17"/>
              </w:rPr>
              <w:t>113/119 (95.0%)</w:t>
            </w:r>
          </w:p>
        </w:tc>
        <w:tc>
          <w:tcPr>
            <w:tcW w:type="dxa" w:w="2340"/>
          </w:tcPr>
          <w:p>
            <w:r/>
            <w:r>
              <w:rPr>
                <w:rFonts w:ascii="Times New Roman" w:hAnsi="Times New Roman"/>
                <w:sz w:val="17"/>
              </w:rPr>
              <w:t>58/113 (51.3%)</w:t>
            </w:r>
          </w:p>
        </w:tc>
      </w:tr>
      <w:tr>
        <w:tc>
          <w:tcPr>
            <w:tcW w:type="dxa" w:w="2340"/>
          </w:tcPr>
          <w:p>
            <w:r/>
            <w:r>
              <w:rPr>
                <w:rFonts w:ascii="Times New Roman" w:hAnsi="Times New Roman"/>
                <w:sz w:val="17"/>
              </w:rPr>
              <w:t>Excluding children whose record states a rotation below 360°</w:t>
            </w:r>
          </w:p>
        </w:tc>
        <w:tc>
          <w:tcPr>
            <w:tcW w:type="dxa" w:w="2340"/>
          </w:tcPr>
          <w:p>
            <w:r/>
            <w:r>
              <w:rPr>
                <w:rFonts w:ascii="Times New Roman" w:hAnsi="Times New Roman"/>
                <w:sz w:val="17"/>
              </w:rPr>
              <w:t>384/465 (82.6%)</w:t>
            </w:r>
          </w:p>
        </w:tc>
        <w:tc>
          <w:tcPr>
            <w:tcW w:type="dxa" w:w="2340"/>
          </w:tcPr>
          <w:p>
            <w:r/>
            <w:r>
              <w:rPr>
                <w:rFonts w:ascii="Times New Roman" w:hAnsi="Times New Roman"/>
                <w:sz w:val="17"/>
              </w:rPr>
              <w:t>104/119 (87.4%)</w:t>
            </w:r>
          </w:p>
        </w:tc>
        <w:tc>
          <w:tcPr>
            <w:tcW w:type="dxa" w:w="2340"/>
          </w:tcPr>
          <w:p>
            <w:r/>
            <w:r>
              <w:rPr>
                <w:rFonts w:ascii="Times New Roman" w:hAnsi="Times New Roman"/>
                <w:sz w:val="17"/>
              </w:rPr>
              <w:t>54/104 (51.9%)</w:t>
            </w:r>
          </w:p>
        </w:tc>
      </w:tr>
      <w:tr>
        <w:tc>
          <w:tcPr>
            <w:tcW w:type="dxa" w:w="2340"/>
          </w:tcPr>
          <w:p>
            <w:r/>
            <w:r>
              <w:rPr>
                <w:rFonts w:ascii="Times New Roman" w:hAnsi="Times New Roman"/>
                <w:sz w:val="17"/>
              </w:rPr>
              <w:t>Requiring a documented rotation of 360° or more</w:t>
            </w:r>
          </w:p>
        </w:tc>
        <w:tc>
          <w:tcPr>
            <w:tcW w:type="dxa" w:w="2340"/>
          </w:tcPr>
          <w:p>
            <w:r/>
            <w:r>
              <w:rPr>
                <w:rFonts w:ascii="Times New Roman" w:hAnsi="Times New Roman"/>
                <w:sz w:val="17"/>
              </w:rPr>
              <w:t>308/465 (66.2%)</w:t>
            </w:r>
          </w:p>
        </w:tc>
        <w:tc>
          <w:tcPr>
            <w:tcW w:type="dxa" w:w="2340"/>
          </w:tcPr>
          <w:p>
            <w:r/>
            <w:r>
              <w:rPr>
                <w:rFonts w:ascii="Times New Roman" w:hAnsi="Times New Roman"/>
                <w:sz w:val="17"/>
              </w:rPr>
              <w:t>89/119 (74.8%)</w:t>
            </w:r>
          </w:p>
        </w:tc>
        <w:tc>
          <w:tcPr>
            <w:tcW w:type="dxa" w:w="2340"/>
          </w:tcPr>
          <w:p>
            <w:r/>
            <w:r>
              <w:rPr>
                <w:rFonts w:ascii="Times New Roman" w:hAnsi="Times New Roman"/>
                <w:sz w:val="17"/>
              </w:rPr>
              <w:t>50/89 (56.2%)</w:t>
            </w:r>
          </w:p>
        </w:tc>
      </w:tr>
    </w:tbl>
    <w:p>
      <w:pPr>
        <w:spacing w:after="160"/>
      </w:pPr>
    </w:p>
    <w:p>
      <w:pPr>
        <w:spacing w:after="160"/>
      </w:pPr>
      <w:r>
        <w:t>Excluding the 19 children with a rotation below 360° lowers volvulus prevalence from 86.7% to 82.6% in the cohort and from 95.0% to 87.4% among the children who underwent ultrasound; additionally requiring a stated degree lowers it to 66.2% and 74.8%. Neither changes the manuscript's claims. The whirlpool sign remains documented in about half of the children with confirmed volvulus under all three definitions (51.3%, 51.9% and 56.2%),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only just, its lower bound falling at +0.6 percentage points, and the adjusted effect does not exclude zero; the two intervals overlap heavily, so the analysis shows that examination type accounts for more than half the era difference, not that the remainder is absent.</w:t>
      </w:r>
    </w:p>
    <w:p>
      <w:pPr>
        <w:spacing w:after="160"/>
      </w:pPr>
      <w:r>
        <w:rPr>
          <w:b/>
        </w:rPr>
        <w:t>Table S11. Average marginal effect of later era, with bootstrap confidence intervals</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17"/>
              </w:rPr>
              <w:t>Modality and model</w:t>
            </w:r>
          </w:p>
        </w:tc>
        <w:tc>
          <w:tcPr>
            <w:tcW w:type="dxa" w:w="4680"/>
          </w:tcPr>
          <w:p>
            <w:r/>
            <w:r>
              <w:rPr>
                <w:rFonts w:ascii="Times New Roman" w:hAnsi="Times New Roman"/>
                <w:b/>
                <w:sz w:val="17"/>
              </w:rPr>
              <w:t>Average marginal effect of later era, percentage points (95% CI)</w:t>
            </w:r>
          </w:p>
        </w:tc>
      </w:tr>
      <w:tr>
        <w:tc>
          <w:tcPr>
            <w:tcW w:type="dxa" w:w="4680"/>
          </w:tcPr>
          <w:p>
            <w:r/>
            <w:r>
              <w:rPr>
                <w:rFonts w:ascii="Times New Roman" w:hAnsi="Times New Roman"/>
                <w:sz w:val="17"/>
              </w:rPr>
              <w:t>Ultrasound, crude</w:t>
            </w:r>
          </w:p>
        </w:tc>
        <w:tc>
          <w:tcPr>
            <w:tcW w:type="dxa" w:w="4680"/>
          </w:tcPr>
          <w:p>
            <w:r/>
            <w:r>
              <w:rPr>
                <w:rFonts w:ascii="Times New Roman" w:hAnsi="Times New Roman"/>
                <w:sz w:val="17"/>
              </w:rPr>
              <w:t>+19.0 (+0.6 to +37.6)</w:t>
            </w:r>
          </w:p>
        </w:tc>
      </w:tr>
      <w:tr>
        <w:tc>
          <w:tcPr>
            <w:tcW w:type="dxa" w:w="4680"/>
          </w:tcPr>
          <w:p>
            <w:r/>
            <w:r>
              <w:rPr>
                <w:rFonts w:ascii="Times New Roman" w:hAnsi="Times New Roman"/>
                <w:sz w:val="17"/>
              </w:rPr>
              <w:t>Ultrasound, adjusted for great-vessel session</w:t>
            </w:r>
          </w:p>
        </w:tc>
        <w:tc>
          <w:tcPr>
            <w:tcW w:type="dxa" w:w="4680"/>
          </w:tcPr>
          <w:p>
            <w:r/>
            <w:r>
              <w:rPr>
                <w:rFonts w:ascii="Times New Roman" w:hAnsi="Times New Roman"/>
                <w:sz w:val="17"/>
              </w:rPr>
              <w:t>+8.2 (-11.6 to +27.8)</w:t>
            </w:r>
          </w:p>
        </w:tc>
      </w:tr>
      <w:tr>
        <w:tc>
          <w:tcPr>
            <w:tcW w:type="dxa" w:w="4680"/>
          </w:tcPr>
          <w:p>
            <w:r/>
            <w:r>
              <w:rPr>
                <w:rFonts w:ascii="Times New Roman" w:hAnsi="Times New Roman"/>
                <w:sz w:val="17"/>
              </w:rPr>
              <w:t>CT, crude</w:t>
            </w:r>
          </w:p>
        </w:tc>
        <w:tc>
          <w:tcPr>
            <w:tcW w:type="dxa" w:w="4680"/>
          </w:tcPr>
          <w:p>
            <w:r/>
            <w:r>
              <w:rPr>
                <w:rFonts w:ascii="Times New Roman" w:hAnsi="Times New Roman"/>
                <w:sz w:val="17"/>
              </w:rPr>
              <w:t>+19.2 (+8.0 to +30.3)</w:t>
            </w:r>
          </w:p>
        </w:tc>
      </w:tr>
      <w:tr>
        <w:tc>
          <w:tcPr>
            <w:tcW w:type="dxa" w:w="4680"/>
          </w:tcPr>
          <w:p>
            <w:r/>
            <w:r>
              <w:rPr>
                <w:rFonts w:ascii="Times New Roman" w:hAnsi="Times New Roman"/>
                <w:sz w:val="17"/>
              </w:rPr>
              <w:t>CT, adjusted for contrast enhancement</w:t>
            </w:r>
          </w:p>
        </w:tc>
        <w:tc>
          <w:tcPr>
            <w:tcW w:type="dxa" w:w="4680"/>
          </w:tcPr>
          <w:p>
            <w:r/>
            <w:r>
              <w:rPr>
                <w:rFonts w:ascii="Times New Roman" w:hAnsi="Times New Roman"/>
                <w:sz w:val="17"/>
              </w:rPr>
              <w:t>+15.5 (+4.2 to +27.6)</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Comparison (n=59)</w:t>
            </w:r>
          </w:p>
        </w:tc>
        <w:tc>
          <w:tcPr>
            <w:tcW w:type="dxa" w:w="1872"/>
          </w:tcPr>
          <w:p>
            <w:r/>
            <w:r>
              <w:rPr>
                <w:rFonts w:ascii="Times New Roman" w:hAnsi="Times New Roman"/>
                <w:b/>
                <w:sz w:val="17"/>
              </w:rPr>
              <w:t>Detection</w:t>
            </w:r>
          </w:p>
        </w:tc>
        <w:tc>
          <w:tcPr>
            <w:tcW w:type="dxa" w:w="1872"/>
          </w:tcPr>
          <w:p>
            <w:r/>
            <w:r>
              <w:rPr>
                <w:rFonts w:ascii="Times New Roman" w:hAnsi="Times New Roman"/>
                <w:b/>
                <w:sz w:val="17"/>
              </w:rPr>
              <w:t>Difference, percentage points (95% CI)</w:t>
            </w:r>
          </w:p>
        </w:tc>
        <w:tc>
          <w:tcPr>
            <w:tcW w:type="dxa" w:w="1872"/>
          </w:tcPr>
          <w:p>
            <w:r/>
            <w:r>
              <w:rPr>
                <w:rFonts w:ascii="Times New Roman" w:hAnsi="Times New Roman"/>
                <w:b/>
                <w:sz w:val="17"/>
              </w:rPr>
              <w:t>Discordant pairs</w:t>
            </w:r>
          </w:p>
        </w:tc>
        <w:tc>
          <w:tcPr>
            <w:tcW w:type="dxa" w:w="1872"/>
          </w:tcPr>
          <w:p>
            <w:r/>
            <w:r>
              <w:rPr>
                <w:rFonts w:ascii="Times New Roman" w:hAnsi="Times New Roman"/>
                <w:b/>
                <w:sz w:val="17"/>
              </w:rPr>
              <w:t>Exact McNemar p</w:t>
            </w:r>
          </w:p>
        </w:tc>
      </w:tr>
      <w:tr>
        <w:tc>
          <w:tcPr>
            <w:tcW w:type="dxa" w:w="1872"/>
          </w:tcPr>
          <w:p>
            <w:r/>
            <w:r>
              <w:rPr>
                <w:rFonts w:ascii="Times New Roman" w:hAnsi="Times New Roman"/>
                <w:sz w:val="17"/>
              </w:rPr>
              <w:t>UGI series vs CT</w:t>
            </w:r>
          </w:p>
        </w:tc>
        <w:tc>
          <w:tcPr>
            <w:tcW w:type="dxa" w:w="1872"/>
          </w:tcPr>
          <w:p>
            <w:r/>
            <w:r>
              <w:rPr>
                <w:rFonts w:ascii="Times New Roman" w:hAnsi="Times New Roman"/>
                <w:sz w:val="17"/>
              </w:rPr>
              <w:t>76.3% vs 45.8%</w:t>
            </w:r>
          </w:p>
        </w:tc>
        <w:tc>
          <w:tcPr>
            <w:tcW w:type="dxa" w:w="1872"/>
          </w:tcPr>
          <w:p>
            <w:r/>
            <w:r>
              <w:rPr>
                <w:rFonts w:ascii="Times New Roman" w:hAnsi="Times New Roman"/>
                <w:sz w:val="17"/>
              </w:rPr>
              <w:t>+30.5 (+15.3 to +47.5)</w:t>
            </w:r>
          </w:p>
        </w:tc>
        <w:tc>
          <w:tcPr>
            <w:tcW w:type="dxa" w:w="1872"/>
          </w:tcPr>
          <w:p>
            <w:r/>
            <w:r>
              <w:rPr>
                <w:rFonts w:ascii="Times New Roman" w:hAnsi="Times New Roman"/>
                <w:sz w:val="17"/>
              </w:rPr>
              <w:t>24/6</w:t>
            </w:r>
          </w:p>
        </w:tc>
        <w:tc>
          <w:tcPr>
            <w:tcW w:type="dxa" w:w="1872"/>
          </w:tcPr>
          <w:p>
            <w:r/>
            <w:r>
              <w:rPr>
                <w:rFonts w:ascii="Times New Roman" w:hAnsi="Times New Roman"/>
                <w:sz w:val="17"/>
              </w:rPr>
              <w:t>0.001</w:t>
            </w:r>
          </w:p>
        </w:tc>
      </w:tr>
      <w:tr>
        <w:tc>
          <w:tcPr>
            <w:tcW w:type="dxa" w:w="1872"/>
          </w:tcPr>
          <w:p>
            <w:r/>
            <w:r>
              <w:rPr>
                <w:rFonts w:ascii="Times New Roman" w:hAnsi="Times New Roman"/>
                <w:sz w:val="17"/>
              </w:rPr>
              <w:t>UGI series vs ultrasound</w:t>
            </w:r>
          </w:p>
        </w:tc>
        <w:tc>
          <w:tcPr>
            <w:tcW w:type="dxa" w:w="1872"/>
          </w:tcPr>
          <w:p>
            <w:r/>
            <w:r>
              <w:rPr>
                <w:rFonts w:ascii="Times New Roman" w:hAnsi="Times New Roman"/>
                <w:sz w:val="17"/>
              </w:rPr>
              <w:t>76.3% vs 52.5%</w:t>
            </w:r>
          </w:p>
        </w:tc>
        <w:tc>
          <w:tcPr>
            <w:tcW w:type="dxa" w:w="1872"/>
          </w:tcPr>
          <w:p>
            <w:r/>
            <w:r>
              <w:rPr>
                <w:rFonts w:ascii="Times New Roman" w:hAnsi="Times New Roman"/>
                <w:sz w:val="17"/>
              </w:rPr>
              <w:t>+23.7 (+8.5 to +39.0)</w:t>
            </w:r>
          </w:p>
        </w:tc>
        <w:tc>
          <w:tcPr>
            <w:tcW w:type="dxa" w:w="1872"/>
          </w:tcPr>
          <w:p>
            <w:r/>
            <w:r>
              <w:rPr>
                <w:rFonts w:ascii="Times New Roman" w:hAnsi="Times New Roman"/>
                <w:sz w:val="17"/>
              </w:rPr>
              <w:t>20/6</w:t>
            </w:r>
          </w:p>
        </w:tc>
        <w:tc>
          <w:tcPr>
            <w:tcW w:type="dxa" w:w="1872"/>
          </w:tcPr>
          <w:p>
            <w:r/>
            <w:r>
              <w:rPr>
                <w:rFonts w:ascii="Times New Roman" w:hAnsi="Times New Roman"/>
                <w:sz w:val="17"/>
              </w:rPr>
              <w:t>0.009</w:t>
            </w:r>
          </w:p>
        </w:tc>
      </w:tr>
      <w:tr>
        <w:tc>
          <w:tcPr>
            <w:tcW w:type="dxa" w:w="1872"/>
          </w:tcPr>
          <w:p>
            <w:r/>
            <w:r>
              <w:rPr>
                <w:rFonts w:ascii="Times New Roman" w:hAnsi="Times New Roman"/>
                <w:sz w:val="17"/>
              </w:rPr>
              <w:t>CT vs ultrasound</w:t>
            </w:r>
          </w:p>
        </w:tc>
        <w:tc>
          <w:tcPr>
            <w:tcW w:type="dxa" w:w="1872"/>
          </w:tcPr>
          <w:p>
            <w:r/>
            <w:r>
              <w:rPr>
                <w:rFonts w:ascii="Times New Roman" w:hAnsi="Times New Roman"/>
                <w:sz w:val="17"/>
              </w:rPr>
              <w:t>45.8% vs 52.5%</w:t>
            </w:r>
          </w:p>
        </w:tc>
        <w:tc>
          <w:tcPr>
            <w:tcW w:type="dxa" w:w="1872"/>
          </w:tcPr>
          <w:p>
            <w:r/>
            <w:r>
              <w:rPr>
                <w:rFonts w:ascii="Times New Roman" w:hAnsi="Times New Roman"/>
                <w:sz w:val="17"/>
              </w:rPr>
              <w:t>-6.8 (-20.3 to +6.8)</w:t>
            </w:r>
          </w:p>
        </w:tc>
        <w:tc>
          <w:tcPr>
            <w:tcW w:type="dxa" w:w="1872"/>
          </w:tcPr>
          <w:p>
            <w:r/>
            <w:r>
              <w:rPr>
                <w:rFonts w:ascii="Times New Roman" w:hAnsi="Times New Roman"/>
                <w:sz w:val="17"/>
              </w:rPr>
              <w:t>7/11</w:t>
            </w:r>
          </w:p>
        </w:tc>
        <w:tc>
          <w:tcPr>
            <w:tcW w:type="dxa" w:w="1872"/>
          </w:tcPr>
          <w:p>
            <w:r/>
            <w:r>
              <w:rPr>
                <w:rFonts w:ascii="Times New Roman" w:hAnsi="Times New Roman"/>
                <w:sz w:val="17"/>
              </w:rPr>
              <w:t>0.481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penalised logistic model of ultrasound detection on volvulus returns a finite estimate. Its interval must be a profile penalised-likelihood interval rather than a Wald one, because under separation the two disagree here: the Wald interval spans 0.74 to 387 and the profile interval 1.93 to 2229 (penalised likelihood-ratio p=0.006). The direction of the contrast is therefore supported, ultrasound having been far more often positive when volvulus was present,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penalised likelihood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Analysis</w:t>
            </w:r>
          </w:p>
        </w:tc>
        <w:tc>
          <w:tcPr>
            <w:tcW w:type="dxa" w:w="3120"/>
          </w:tcPr>
          <w:p>
            <w:r/>
            <w:r>
              <w:rPr>
                <w:rFonts w:ascii="Times New Roman" w:hAnsi="Times New Roman"/>
                <w:b/>
                <w:sz w:val="17"/>
              </w:rPr>
              <w:t>Estimate (95% CI)</w:t>
            </w:r>
          </w:p>
        </w:tc>
        <w:tc>
          <w:tcPr>
            <w:tcW w:type="dxa" w:w="3120"/>
          </w:tcPr>
          <w:p>
            <w:r/>
            <w:r>
              <w:rPr>
                <w:rFonts w:ascii="Times New Roman" w:hAnsi="Times New Roman"/>
                <w:b/>
                <w:sz w:val="17"/>
              </w:rPr>
              <w:t>p</w:t>
            </w:r>
          </w:p>
        </w:tc>
      </w:tr>
      <w:tr>
        <w:tc>
          <w:tcPr>
            <w:tcW w:type="dxa" w:w="3120"/>
          </w:tcPr>
          <w:p>
            <w:r/>
            <w:r>
              <w:rPr>
                <w:rFonts w:ascii="Times New Roman" w:hAnsi="Times New Roman"/>
                <w:sz w:val="17"/>
              </w:rPr>
              <w:t>Modality x volvulus interaction, upper gastrointestinal series vs CT (GEE; estimable)</w:t>
            </w:r>
          </w:p>
        </w:tc>
        <w:tc>
          <w:tcPr>
            <w:tcW w:type="dxa" w:w="3120"/>
          </w:tcPr>
          <w:p>
            <w:r/>
            <w:r>
              <w:rPr>
                <w:rFonts w:ascii="Times New Roman" w:hAnsi="Times New Roman"/>
                <w:sz w:val="17"/>
              </w:rPr>
              <w:t>CT x volvulus odds ratio 0.99 (0.36–2.70)</w:t>
            </w:r>
          </w:p>
        </w:tc>
        <w:tc>
          <w:tcPr>
            <w:tcW w:type="dxa" w:w="3120"/>
          </w:tcPr>
          <w:p>
            <w:r/>
            <w:r>
              <w:rPr>
                <w:rFonts w:ascii="Times New Roman" w:hAnsi="Times New Roman"/>
                <w:sz w:val="17"/>
              </w:rPr>
              <w:t>0.981</w:t>
            </w:r>
          </w:p>
        </w:tc>
      </w:tr>
      <w:tr>
        <w:tc>
          <w:tcPr>
            <w:tcW w:type="dxa" w:w="3120"/>
          </w:tcPr>
          <w:p>
            <w:r/>
            <w:r>
              <w:rPr>
                <w:rFonts w:ascii="Times New Roman" w:hAnsi="Times New Roman"/>
                <w:sz w:val="17"/>
              </w:rPr>
              <w:t>Modality x volvulus interaction including ultrasound (GEE)</w:t>
            </w:r>
          </w:p>
        </w:tc>
        <w:tc>
          <w:tcPr>
            <w:tcW w:type="dxa" w:w="3120"/>
          </w:tcPr>
          <w:p>
            <w:r/>
            <w:r>
              <w:rPr>
                <w:rFonts w:ascii="Times New Roman" w:hAnsi="Times New Roman"/>
                <w:sz w:val="17"/>
              </w:rPr>
              <w:t>Not estimable (complete separation)</w:t>
            </w:r>
          </w:p>
        </w:tc>
        <w:tc>
          <w:tcPr>
            <w:tcW w:type="dxa" w:w="3120"/>
          </w:tcPr>
          <w:p>
            <w:r/>
            <w:r>
              <w:rPr>
                <w:rFonts w:ascii="Times New Roman" w:hAnsi="Times New Roman"/>
                <w:sz w:val="17"/>
              </w:rPr>
              <w:t>–</w:t>
            </w:r>
          </w:p>
        </w:tc>
      </w:tr>
      <w:tr>
        <w:tc>
          <w:tcPr>
            <w:tcW w:type="dxa" w:w="3120"/>
          </w:tcPr>
          <w:p>
            <w:r/>
            <w:r>
              <w:rPr>
                <w:rFonts w:ascii="Times New Roman" w:hAnsi="Times New Roman"/>
                <w:sz w:val="17"/>
              </w:rPr>
              <w:t>Ultrasound detection given midgut volvulus, Firth penalised logistic</w:t>
            </w:r>
          </w:p>
        </w:tc>
        <w:tc>
          <w:tcPr>
            <w:tcW w:type="dxa" w:w="3120"/>
          </w:tcPr>
          <w:p>
            <w:r/>
            <w:r>
              <w:rPr>
                <w:rFonts w:ascii="Times New Roman" w:hAnsi="Times New Roman"/>
                <w:sz w:val="17"/>
              </w:rPr>
              <w:t>Odds ratio 16.9 (1.93–2229, profile penalised likelihood)</w:t>
            </w:r>
          </w:p>
        </w:tc>
        <w:tc>
          <w:tcPr>
            <w:tcW w:type="dxa" w:w="3120"/>
          </w:tcPr>
          <w:p>
            <w:r/>
            <w:r>
              <w:rPr>
                <w:rFonts w:ascii="Times New Roman" w:hAnsi="Times New Roman"/>
                <w:sz w:val="17"/>
              </w:rPr>
              <w:t>0.006</w:t>
            </w:r>
          </w:p>
        </w:tc>
      </w:tr>
      <w:tr>
        <w:tc>
          <w:tcPr>
            <w:tcW w:type="dxa" w:w="3120"/>
          </w:tcPr>
          <w:p>
            <w:r/>
            <w:r>
              <w:rPr>
                <w:rFonts w:ascii="Times New Roman" w:hAnsi="Times New Roman"/>
                <w:sz w:val="17"/>
              </w:rPr>
              <w:t>Era x examination-content interaction, ultrasound</w:t>
            </w:r>
          </w:p>
        </w:tc>
        <w:tc>
          <w:tcPr>
            <w:tcW w:type="dxa" w:w="3120"/>
          </w:tcPr>
          <w:p>
            <w:r/>
            <w:r>
              <w:rPr>
                <w:rFonts w:ascii="Times New Roman" w:hAnsi="Times New Roman"/>
                <w:sz w:val="17"/>
              </w:rPr>
              <w:t>1.06 (0.19–5.81)</w:t>
            </w:r>
          </w:p>
        </w:tc>
        <w:tc>
          <w:tcPr>
            <w:tcW w:type="dxa" w:w="3120"/>
          </w:tcPr>
          <w:p>
            <w:r/>
            <w:r>
              <w:rPr>
                <w:rFonts w:ascii="Times New Roman" w:hAnsi="Times New Roman"/>
                <w:sz w:val="17"/>
              </w:rPr>
              <w:t>0.950</w:t>
            </w:r>
          </w:p>
        </w:tc>
      </w:tr>
      <w:tr>
        <w:tc>
          <w:tcPr>
            <w:tcW w:type="dxa" w:w="3120"/>
          </w:tcPr>
          <w:p>
            <w:r/>
            <w:r>
              <w:rPr>
                <w:rFonts w:ascii="Times New Roman" w:hAnsi="Times New Roman"/>
                <w:sz w:val="17"/>
              </w:rPr>
              <w:t>Era x examination-content interaction, CT</w:t>
            </w:r>
          </w:p>
        </w:tc>
        <w:tc>
          <w:tcPr>
            <w:tcW w:type="dxa" w:w="3120"/>
          </w:tcPr>
          <w:p>
            <w:r/>
            <w:r>
              <w:rPr>
                <w:rFonts w:ascii="Times New Roman" w:hAnsi="Times New Roman"/>
                <w:sz w:val="17"/>
              </w:rPr>
              <w:t>1.52 (0.31–7.34)</w:t>
            </w:r>
          </w:p>
        </w:tc>
        <w:tc>
          <w:tcPr>
            <w:tcW w:type="dxa" w:w="3120"/>
          </w:tcPr>
          <w:p>
            <w:r/>
            <w:r>
              <w:rPr>
                <w:rFonts w:ascii="Times New Roman" w:hAnsi="Times New Roman"/>
                <w:sz w:val="17"/>
              </w:rPr>
              <w:t>0.603</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Online Resource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