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2,979 (Introduction through Take-Home Points; excluding abstract, references, tables and figure legends); Tables: 4; Figures: 3; Supplemental material: Supplements 1–3</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Because the cohort was surgically confirmed, the outcome is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itself a positivity criterion, and in 5 of 58 without one. A whirlpool was recorded in 59 of 112 children with operatively confirmed volvulus. Detection was 53.8% counting only conclusions naming malrotation, 27.4% excluding tentative wording.</w:t>
      </w:r>
    </w:p>
    <w:p>
      <w:pPr>
        <w:spacing w:after="160" w:line="480" w:lineRule="auto"/>
      </w:pPr>
      <w:r>
        <w:rPr>
          <w:b/>
        </w:rPr>
        <w:t>Discussion:</w:t>
      </w:r>
      <w:r>
        <w:t xml:space="preserve"> Positive routine ultrasound reports rested almost entirely on the whirlpool sign, and the duodenal landmarks to which published performance is attributed were rarely documented. Whether documenting them would close the gap cannot be tested from reports, but their absence can be audited.</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line="480" w:lineRule="auto"/>
      </w:pPr>
      <w:r>
        <w:t>The 2025 multicenter series measured performance from the original clinical reports, after excluding non-diagnostic and equivocal examinations [13]. Whether routine reports from a general pediatric ultrasound service document the elements to which that performance is attributed, and how this relates to whether the diagnosis is reported, has not to our knowledge been examined at scale.</w:t>
      </w:r>
    </w:p>
    <w:p>
      <w:pPr>
        <w:spacing w:after="160" w:line="480" w:lineRule="auto"/>
      </w:pPr>
      <w:r>
        <w:t>We therefore audited 13.5 years of routine reports at a tertiary children's hospital. Because every child had surgically confirmed malrotation, the study measures how often the disease was reported and with what documented content, not how accurate the tests are. The UGI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The whirlpool sign is a sign of volvulus rather than of malrotation [20].</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whose operative diagnosis named intestinal malrotation or whose procedure was recorded as a Ladd procedure were selected (search strings in Supplement 1): 503 records in 465 children. The anchor operation was each child's first such operation. All operative records were re-read for 34 children whose anchor operation was not named as a malrotation procedure or followed earlier malrotation surgery, and 15 were excluded: 6 in whom that operation did not confirm malrotation and 9 reoperations after earlier malrotation surgery.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on each request was not retrievable, so confounding by indication is displayed through the characteristics of each modality group (Table 1) rather than adjusted for.</w:t>
      </w:r>
    </w:p>
    <w:p>
      <w:pPr>
        <w:spacing w:after="160" w:line="480" w:lineRule="auto"/>
      </w:pPr>
      <w:r>
        <w:t>Ultrasound was performed and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line="480" w:lineRule="auto"/>
      </w:pPr>
      <w:r>
        <w:t>Each ultrasound index examination was coded by two readers, an ultrasound physician and a pediatric surgeon,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[21] (rules, label distribution and worked misclassification examples in Supplement 1). A pediatric surgeon, one of the authors, blinded to the operative findings adjudicated 32 reports: agreement was 92% (Cohen kappa 0.83, 95% CI 0.61–1.00) in a stratified random sample of 24, and a targeted review of 8 suspected discordances found 5 further under-calls, excluded from the agreement statistics. A two-directional screen of every index examination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All analysis variables were complete. Between-modality comparison used a generalized estimating equation (GEE) logistic model [22] with an exchangeable working correlation, patient-level clustering and cluster-robust standard errors, unadjusted and adjusted for era (2012–2018 vs 2019–2026) and age group. Modalities a child did not undergo are unobserved outcomes, not missing at random here, so these coefficients describe reporting among children who underwent each test. A pre-specified modality-by-volvulus interaction was not estimable in the three-modality model, as no ultrasound examination was positive among the five children without volvulus; the estimable UGI-versus-CT interaction and a Firth penalized estimate of the separated contrast are given in Supplement 2 [23, 24].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Attenuation was not interpreted as mediation. P values were not adjusted for multiplicity, and Supplement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UGI series was the last preoperative test in 75.0% of those who received it against 19.2% for CT, and detection was higher in that position (80.0% vs 70.0% for the UGI series), a feature of the pathway rather than of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remained less often positive than the UGI series; the coefficients absorb indication, pathway position and examination content and are given in Supplement 2. Reclassifying possible-tier conclusions as negative reduced detection to 50.5%, 32.9% and 27.4%; counting only conclusions that named malrotation gave 77.8%, 48.6% and 53.8% (Table 2).</w:t>
      </w:r>
    </w:p>
    <w:p>
      <w:pPr>
        <w:pStyle w:val="Heading2"/>
      </w:pPr>
      <w:r>
        <w:t>Documented content of ultrasound examinations</w:t>
      </w:r>
    </w:p>
    <w:p>
      <w:pPr>
        <w:spacing w:after="160" w:line="480" w:lineRule="auto"/>
      </w:pPr>
      <w:r>
        <w:t>Of the 117 ultrasound index examinations, three (2.6%; 95% CI 0.9–7.3) documented D3 or the duodenojejunal junction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(kappa 0.80–1.00; Supplement 1).</w:t>
      </w:r>
    </w:p>
    <w:p>
      <w:pPr>
        <w:spacing w:after="160" w:line="480" w:lineRule="auto"/>
      </w:pPr>
      <w:r>
        <w:t>In 2018 the horizontal duodenum was described passing anterior to the superior mesenteric artery after oral contrast; in 2022 it was followed between the artery and the aorta with the duodenojejunal junction identified, the only examination resembling the published technique [16, 17]; in 2024 it could not be filled and further imaging was advised.</w:t>
      </w:r>
    </w:p>
    <w:p>
      <w:pPr>
        <w:spacing w:after="160" w:line="480" w:lineRule="auto"/>
      </w:pPr>
      <w:r>
        <w:t>The diagnosis was named in all 59 examinations recording a whirlpool and in 5 of the 58 without one (8.6%, 95% CI 3.7–18.6). This contrast is partly definitional, as a whirlpool is itself a positivity criterion, although all 59 conclusions also named malrotation explicitly. A whirlpool was recorded in only 59 of the 112 children (52.7%) in whom operation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and UGI detection did not (Table 4). Sessions including a great-vessel study rose from 34.2% to 68.4%, and adding this booking indicator reduced the ultrasound difference to +8.4 (−10.6 to +29.2) percentage points; its odds ratio of 3.51 (1.56–7.87) lay between 3.21 and 4.04 at every era boundary from 2019 to 2022 (Supplement 2). Whirlpool reporting rose from 39.5% to 55.7%, whereas D3 or the duodenojejunal junction was documented in one and two examinations.</w:t>
      </w:r>
    </w:p>
    <w:p>
      <w:pPr>
        <w:pStyle w:val="Heading2"/>
      </w:pPr>
      <w:r>
        <w:t>Selected subgroup and populations not represented</w:t>
      </w:r>
    </w:p>
    <w:p>
      <w:pPr>
        <w:spacing w:after="160" w:line="480" w:lineRule="auto"/>
      </w:pPr>
      <w:r>
        <w:t xml:space="preserve">Fifty-nine children underwent all three modalities. This subgroup, in whom the diagnosis remained uncertain,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a pattern unchanged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13.5 years, routine ultrasound reports for children who proved to have intestinal malrotation rarely recorded the duodenal anatomy to which contemporary ultrasound accuracy is attributed: D3 or the duodenojejunal junction in three of 117 examinations, enteric fluid in two. The finding they did record was the whirlpool sign, present in about half of all examinations and of the children in whom operation confirmed volvulus. In this setting a positive report rested almost entirely on a sign of volvulus.</w:t>
      </w:r>
    </w:p>
    <w:p>
      <w:pPr>
        <w:spacing w:after="160" w:line="480" w:lineRule="auto"/>
      </w:pPr>
      <w:r>
        <w:t>Malrotation or volvulus was named in 54.7% of the surgically confirmed children who underwent ultrasound, compared with 93% in the original clinical reports and 97% on blinded review in the 2025 multicenter series, which excluded non-diagnostic and equivocal examinations [13] (in a multi-institutional cohort, 25.7% of examinations for malrotation were non-diagnostic on the original report [25]), and a pooled 94% in meta-analysis [11], both in children investigated for suspicion. These figures are not interchangeable: ours is conditioned on confirmed disease and on the indications that selected these children, theirs on those exclusions, so the difference combines case mix, examination quality and technique in proportions this audit cannot separate. What it does show is that the elements to which published performance is attributed were almost never documented here: D3 [16, 17], the most accurate single sign in the 2025 series [13]; the duodenojejunal junction [12, 15]; and enteric fluid, associated with better performance in meta-analysis [11]. Whether documenting them would have raised detection cannot be tested, as documentation is a lower bound on what was done.</w:t>
      </w:r>
    </w:p>
    <w:p>
      <w:pPr>
        <w:spacing w:after="160" w:line="480" w:lineRule="auto"/>
      </w:pPr>
      <w:r>
        <w:t>The temporal analysis is exploratory. The crude rise in ultrasound detection was itself imprecise, the booking indicator was chosen after inspection of the data, and the earlier era contributed only 38 examinations. Adding the indicator roughly halved the estimated rise, but booking was not randomized: a child suspected of volvulus is both more likely to be booked for a vessel study and more likely to have a whirlpool, so indication and technique cannot be separated. The consistent observation is descriptive: duodenal landmarks were documented no more often in the later era, while whirlpool reporting rose.</w:t>
      </w:r>
    </w:p>
    <w:p>
      <w:pPr>
        <w:spacing w:after="160" w:line="480" w:lineRule="auto"/>
      </w:pPr>
      <w:r>
        <w:t>Three features of the design make the between-modality differences uninterpretable as accuracy. The reference standard is not independent of the index tests: the surgeon knew the preoperative imaging, and a positive UGI series, the last preoperative test in 75.0% of children who had it with another index test, may often have precipitated the operation that confirmed the diagnosis, an incorporation bias asymmetrical between tests. Pathway position therefore also differed. The modalities were also used in different children for different reasons (Table 1), which no adjustment can undo.</w:t>
      </w:r>
    </w:p>
    <w:p>
      <w:pPr>
        <w:spacing w:after="160" w:line="480" w:lineRule="auto"/>
      </w:pPr>
      <w:r>
        <w:t>Departments adopting an ultrasound-first pathway on the basis of sensitivities of 93–97% should first establish that their examinations resemble those that produced them. Here the duodenal landmarks remained largely undocumented throughout the study period. A structured report requiring explicit statements on D3, the duodenojejunal junction and study adequacy would make this gap auditable. These data cannot estimate the negative predictive value of a routine report, but a department whose reports lack these elements should not assume that published values apply to its own.</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and whether the deficit at this center generalizes is unknown.</w:t>
      </w:r>
    </w:p>
    <w:p>
      <w:pPr>
        <w:pStyle w:val="Heading1"/>
      </w:pPr>
      <w:r>
        <w:t>Take-Home Points</w:t>
      </w:r>
    </w:p>
    <w:p>
      <w:pPr>
        <w:spacing w:after="160" w:line="480" w:lineRule="auto"/>
      </w:pPr>
      <w:r>
        <w:t>• Routine ultrasound reports for children with surgically confirmed malrotation documented the duodenal landmarks emphasized by published series in 2.6% of examinations and reported the diagnosis almost only when a whirlpool sign was present.</w:t>
      </w:r>
    </w:p>
    <w:p>
      <w:pPr>
        <w:spacing w:after="160" w:line="480" w:lineRule="auto"/>
      </w:pPr>
      <w:r>
        <w:t>• A positive routine ultrasound report rested almost entirely on the whirlpool sign, a sign of volvulus, which was recorded in only 59 of 112 children with operatively confirmed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Before assuming that published ultrasound performance applies locally, departments should audit whether their own reports document the duodenal landmarks; a structured report would make the gap auditable.</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examination.</w:t>
      </w:r>
    </w:p>
    <w:p>
      <w:pPr>
        <w:spacing w:after="160" w:line="480" w:lineRule="auto"/>
      </w:pPr>
      <w:r>
        <w:rPr>
          <w:b/>
        </w:rPr>
        <w:t>Supplement 3.</w:t>
      </w:r>
      <w:r>
        <w:t xml:space="preserve"> Content audit of the 313 CT and 293 upper gastrointestinal series index examinations, with detection conditional on documented content.</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20.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21.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22.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23. Firth D. Bias reduction of maximum likelihood estimates. </w:t>
      </w:r>
      <w:r>
        <w:rPr>
          <w:i/>
          <w:sz w:val="20"/>
        </w:rPr>
        <w:t>Biometrika</w:t>
      </w:r>
      <w:r>
        <w:rPr>
          <w:sz w:val="20"/>
        </w:rPr>
        <w:t>. 1993;80:27-38. doi:10.1093/biomet/80.1.27</w:t>
      </w:r>
    </w:p>
    <w:p>
      <w:pPr>
        <w:spacing w:after="60" w:line="480" w:lineRule="auto"/>
      </w:pPr>
      <w:r>
        <w:rPr>
          <w:sz w:val="20"/>
        </w:rPr>
        <w:t xml:space="preserve">24.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25.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Records of 711 children in the clinical research database, selection of 503 operative records in 465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Symptoms described as repeated, intermittent or lasting months,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212 (47.1)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146 (49.8)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144 (46.0)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(44.4)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(36.5)</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"repeated" also captures vomiting repeated over hours or days, so that row is not a measure of chronic presentation.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 (32.6)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 (35.7)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50.5</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(26.6)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 (50.0)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6797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67970"/>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