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obtained when the third portion of the duodenum (D3), the duodenojejunal junction and the mesenteric vessels are assessed under a dedicated protocol. Clinical decisions, however, rest on the routine report issued during unselected care, and whether routine reports contain the elements that produced those figures has not, to our knowledge, been examined at scale. This is a question of clinical practice management, namely the content and quality of routine radiology reports, rather than of the intrinsic accuracy of a modality, which is why we are submitting it to </w:t>
      </w:r>
      <w:r>
        <w:rPr>
          <w:i/>
        </w:rPr>
        <w:t>JACR</w:t>
      </w:r>
      <w:r>
        <w:t>.</w:t>
      </w:r>
    </w:p>
    <w:p>
      <w:pPr>
        <w:spacing w:after="160"/>
      </w:pPr>
      <w:r>
        <w:t xml:space="preserve">We audited 13.5 years of routine reports at a tertiary children's hospital: 723 preoperative index examinations in 398 children with surgically confirmed malrotation, coding each examination both for whether it named the diagnosis and for the technical elements it documented, the ultrasound elements by two independent readers.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followed that content closely: 5 of the 58 examinations without a reported whirlpool named the diagnosis, and a whirlpool was reported in only 59 of the 112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42% to 61% across the study period, an imprecise difference that tracked how the examination was booked rather than what it documented: adjusting for a shift toward sessions that included an abdominal great-vessel study reduced it from +18.7 to +8.4 percentage points. By the department's account there was no change of equipment, staffing or protocol over the period, and growing awareness attached to the whirlpool sign rather than to duodenal anatomy, so detection rose while duodenal documentation did not.</w:t>
      </w:r>
    </w:p>
    <w:p>
      <w:pPr>
        <w:spacing w:after="160"/>
      </w:pPr>
      <w:r>
        <w:t>For radiology departments the implication is practical. Before assuming that published performance applies locally, a department can audit whether its own reports document the duodenal landmarks, and a structured malrotation ultrasound report requiring explicit statements on D3, the duodenojejunal junction and study adequacy would make such a deficit visible prospectively. The audit method, a transparent rule-based classification of free-text reports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