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eastAsia="黑体" w:hAnsi="Arial"/>
          <w:color w:val="8F5524"/>
          <w:spacing w:val="40"/>
          <w:sz w:val="20"/>
          <w:szCs w:val="20"/>
        </w:rPr>
        <w:t xml:space="preserve">课题规划 · 小儿胃肠外科</w:t>
      </w:r>
    </w:p>
    <w:p>
      <w:pPr>
        <w:spacing w:after="100"/>
      </w:pPr>
      <w:r>
        <w:rPr>
          <w:rFonts w:ascii="Arial" w:eastAsia="黑体" w:hAnsi="Arial"/>
          <w:b/>
          <w:bCs/>
          <w:sz w:val="44"/>
          <w:szCs w:val="44"/>
        </w:rPr>
        <w:t xml:space="preserve">小儿胃肠外科科研课题规划</w:t>
      </w:r>
    </w:p>
    <w:p>
      <w:pPr>
        <w:pBdr>
          <w:bottom w:val="single" w:color="1C1E2B" w:sz="12"/>
        </w:pBdr>
        <w:spacing w:after="280"/>
      </w:pPr>
      <w:r>
        <w:rPr>
          <w:rFonts w:ascii="Arial" w:eastAsia="黑体" w:hAnsi="Arial"/>
          <w:color w:val="414C93"/>
          <w:sz w:val="26"/>
          <w:szCs w:val="26"/>
        </w:rPr>
        <w:t xml:space="preserve">从十个候选方向，到一份能写进标书的三年方案</w:t>
      </w:r>
    </w:p>
    <w:p>
      <w:pPr>
        <w:spacing w:after="160"/>
      </w:pPr>
    </w:p>
    <w:p>
      <w:pPr>
        <w:spacing w:after="120" w:line="360" w:lineRule="auto"/>
        <w:ind w:firstLine="420"/>
        <w:jc w:val="both"/>
      </w:pPr>
      <w:r>
        <w:rPr>
          <w:rFonts w:ascii="Times New Roman" w:eastAsia="宋体" w:hAnsi="Times New Roman"/>
        </w:rPr>
        <w:t xml:space="preserve">本文件先给出选题的筛选逻辑与十个候选方向的横向比较，再把首推方向——</w:t>
      </w:r>
      <w:r>
        <w:rPr>
          <w:rFonts w:ascii="Times New Roman" w:eastAsia="宋体" w:hAnsi="Times New Roman"/>
          <w:b/>
          <w:bCs/>
        </w:rPr>
        <w:t xml:space="preserve">先天性巨结肠术后肠炎（HAEC）的多组学机制与风险预测</w:t>
      </w:r>
      <w:r>
        <w:rPr>
          <w:rFonts w:ascii="Times New Roman" w:eastAsia="宋体" w:hAnsi="Times New Roman"/>
        </w:rPr>
        <w:t xml:space="preserve">——展开成含科学假设、三个研究内容、样本量估算、36 个月进度、经费预算与风险对策的完整方案；另附一份 12–18 个月即可产出的低成本备选方案、一份按省份核过的申报窗口日历，以及下个月的落地清单。</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2005"/>
        <w:gridCol w:w="7021"/>
      </w:tblGrid>
      <w:tr>
        <w:trPr>
          <w:tblHeader/>
        </w:trPr>
        <w:tc>
          <w:tcPr>
            <w:tcW w:type="dxa" w:w="200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项目</w:t>
            </w:r>
          </w:p>
        </w:tc>
        <w:tc>
          <w:tcPr>
            <w:tcW w:type="dxa" w:w="7021"/>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内容</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适用层次</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国家自然科学基金青年 / 面上项目；省市级重点项目</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研究周期</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36 个月</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直接费用</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约 55 万元（青年基金额度可压缩至约 30 万元）</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核心结构</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临床队列 + 生物样本库 + 一个机制切入点</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预期产出</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SCI 论文 2–3 篇；风险预测工具 1 项（软著）；专病队列与样本库 1 个</w:t>
            </w:r>
          </w:p>
        </w:tc>
      </w:tr>
      <w:tr>
        <w:tc>
          <w:tcPr>
            <w:tcW w:type="dxa" w:w="20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下一主窗口</w:t>
            </w:r>
          </w:p>
        </w:tc>
        <w:tc>
          <w:tcPr>
            <w:tcW w:type="dxa" w:w="7021"/>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国家自然科学基金 2027 年度面上项目，约 2027-03-20 截止</w:t>
            </w:r>
          </w:p>
        </w:tc>
      </w:tr>
    </w:tbl>
    <w:p>
      <w:r>
        <w:br w:type="page"/>
      </w:r>
    </w:p>
    <w:p>
      <w:pPr>
        <w:spacing w:after="240"/>
        <w:jc w:val="center"/>
      </w:pPr>
      <w:r>
        <w:rPr>
          <w:rFonts w:ascii="Arial" w:eastAsia="黑体" w:hAnsi="Arial"/>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eastAsia="黑体" w:hAnsi="Arial"/>
        </w:rPr>
        <w:t xml:space="preserve">一、先定选题逻辑，再谈选什么</w:t>
      </w:r>
    </w:p>
    <w:p>
      <w:pPr>
        <w:spacing w:after="120" w:line="360" w:lineRule="auto"/>
        <w:ind w:firstLine="420"/>
        <w:jc w:val="both"/>
      </w:pPr>
      <w:r>
        <w:rPr>
          <w:rFonts w:ascii="Times New Roman" w:eastAsia="宋体" w:hAnsi="Times New Roman"/>
        </w:rPr>
        <w:t xml:space="preserve">小儿外科单中心做课题，最大的约束不是想法而是病例量和平台。所以选题不是挑一个热点，而是让四个筛子依次过一遍，能同时通过的方向通常只剩两三个。</w:t>
      </w:r>
    </w:p>
    <w:p>
      <w:pPr>
        <w:spacing w:after="100" w:line="340" w:lineRule="auto"/>
        <w:ind w:left="640" w:hanging="640"/>
        <w:jc w:val="both"/>
      </w:pPr>
      <w:r>
        <w:rPr>
          <w:rFonts w:ascii="Times New Roman" w:eastAsia="宋体" w:hAnsi="Times New Roman"/>
          <w:b/>
          <w:bCs/>
        </w:rPr>
        <w:t xml:space="preserve">筛一　病例量　</w:t>
      </w:r>
      <w:r>
        <w:rPr>
          <w:rFonts w:ascii="Times New Roman" w:eastAsia="宋体" w:hAnsi="Times New Roman"/>
          <w:b/>
          <w:bCs/>
        </w:rPr>
        <w:t xml:space="preserve">这一条决定课题成不成立。</w:t>
      </w:r>
      <w:r>
        <w:rPr>
          <w:rFonts w:ascii="Times New Roman" w:eastAsia="宋体" w:hAnsi="Times New Roman"/>
        </w:rPr>
        <w:t xml:space="preserve">先把近 5 年出院诊断导出来，年手术量 ≥20 例的病种才适合做单中心前瞻队列；10–20 例之间只能做回顾性研究或牵头多中心；低于 10 例的方向，只能走基础实验路线。</w:t>
      </w:r>
    </w:p>
    <w:p>
      <w:pPr>
        <w:spacing w:after="100" w:line="340" w:lineRule="auto"/>
        <w:ind w:left="640" w:hanging="640"/>
        <w:jc w:val="both"/>
      </w:pPr>
      <w:r>
        <w:rPr>
          <w:rFonts w:ascii="Times New Roman" w:eastAsia="宋体" w:hAnsi="Times New Roman"/>
          <w:b/>
          <w:bCs/>
        </w:rPr>
        <w:t xml:space="preserve">筛二　临床真问题　</w:t>
      </w:r>
      <w:r>
        <w:rPr>
          <w:rFonts w:ascii="Times New Roman" w:eastAsia="宋体" w:hAnsi="Times New Roman"/>
        </w:rPr>
        <w:t xml:space="preserve">查房时不确定该不该再扩张、门诊时无法回答家长“以后能不能控制大便”、再入院时说不清为什么偏偏是这个孩子得肠炎——这些才是评审认可的临床需求。</w:t>
      </w:r>
    </w:p>
    <w:p>
      <w:pPr>
        <w:spacing w:after="100" w:line="340" w:lineRule="auto"/>
        <w:ind w:left="640" w:hanging="640"/>
        <w:jc w:val="both"/>
      </w:pPr>
      <w:r>
        <w:rPr>
          <w:rFonts w:ascii="Times New Roman" w:eastAsia="宋体" w:hAnsi="Times New Roman"/>
          <w:b/>
          <w:bCs/>
        </w:rPr>
        <w:t xml:space="preserve">筛三　结局可测量　</w:t>
      </w:r>
      <w:r>
        <w:rPr>
          <w:rFonts w:ascii="Times New Roman" w:eastAsia="宋体" w:hAnsi="Times New Roman"/>
        </w:rPr>
        <w:t xml:space="preserve">终点必须落在公认工具上：HAEC 用 2009 年 Delphi 共识评分，排便功能用 Rintala 排便功能评分与 Krickenbeck 分类，生活质量用 PedsQL 4.0。写“恢复良好 / 较差”的标书基本出不来。</w:t>
      </w:r>
    </w:p>
    <w:p>
      <w:pPr>
        <w:spacing w:after="100" w:line="340" w:lineRule="auto"/>
        <w:ind w:left="640" w:hanging="640"/>
        <w:jc w:val="both"/>
      </w:pPr>
      <w:r>
        <w:rPr>
          <w:rFonts w:ascii="Times New Roman" w:eastAsia="宋体" w:hAnsi="Times New Roman"/>
          <w:b/>
          <w:bCs/>
        </w:rPr>
        <w:t xml:space="preserve">筛四　机制可落地　</w:t>
      </w:r>
      <w:r>
        <w:rPr>
          <w:rFonts w:ascii="Times New Roman" w:eastAsia="宋体" w:hAnsi="Times New Roman"/>
        </w:rPr>
        <w:t xml:space="preserve">菌群、代谢组、病理免疫组化可外送或院内解决；单细胞、空间转录组、无菌鼠必须先落实合作实验室，否则技术路线写得再漂亮也是空的。</w:t>
      </w:r>
    </w:p>
    <w:tbl>
      <w:tblPr>
        <w:tblW w:type="dxa" w:w="9026"/>
        <w:tblBorders>
          <w:top w:val="single" w:color="8F5524" w:sz="4"/>
          <w:left w:val="single" w:color="8F5524" w:sz="18"/>
          <w:bottom w:val="single" w:color="8F5524" w:sz="4"/>
          <w:right w:val="single" w:color="8F5524" w:sz="4"/>
          <w:insideH w:val="none" w:color="auto" w:sz="0"/>
          <w:insideV w:val="none" w:color="auto" w:sz="0"/>
        </w:tblBorders>
      </w:tblPr>
      <w:tblGrid>
        <w:gridCol w:w="9026"/>
      </w:tblGrid>
      <w:tr>
        <w:tc>
          <w:tcPr>
            <w:tcW w:type="dxa" w:w="9026"/>
            <w:shd w:fill="F4EDE5" w:color="auto" w:val="clear"/>
            <w:tcMar>
              <w:top w:type="dxa" w:w="140"/>
              <w:left w:type="dxa" w:w="220"/>
              <w:bottom w:type="dxa" w:w="140"/>
              <w:right w:type="dxa" w:w="220"/>
            </w:tcMar>
          </w:tcPr>
          <w:p>
            <w:pPr>
              <w:spacing w:after="0" w:before="0" w:line="340" w:lineRule="auto"/>
              <w:jc w:val="both"/>
            </w:pPr>
            <w:r>
              <w:rPr>
                <w:rFonts w:ascii="Times New Roman" w:eastAsia="宋体" w:hAnsi="Times New Roman"/>
              </w:rPr>
              <w:t xml:space="preserve">目前小儿外科最稳的课题结构是三件套：</w:t>
            </w:r>
            <w:r>
              <w:rPr>
                <w:rFonts w:ascii="Times New Roman" w:eastAsia="宋体" w:hAnsi="Times New Roman"/>
                <w:b/>
                <w:bCs/>
              </w:rPr>
              <w:t xml:space="preserve">一个专病临床队列 + 一个带时序样本的生物样本库 + 一个机制切入点</w:t>
            </w:r>
            <w:r>
              <w:rPr>
                <w:rFonts w:ascii="Times New Roman" w:eastAsia="宋体" w:hAnsi="Times New Roman"/>
              </w:rPr>
              <w:t xml:space="preserve">。队列保证能出临床文章，样本库让一次入组支撑多个衍生课题，机制切入点负责让基金评审给分。</w:t>
            </w:r>
          </w:p>
        </w:tc>
      </w:tr>
    </w:tbl>
    <w:p>
      <w:pPr>
        <w:spacing w:after="160"/>
      </w:pPr>
    </w:p>
    <w:p>
      <w:pPr>
        <w:pStyle w:val="Heading1"/>
        <w:spacing w:after="160" w:before="360"/>
      </w:pPr>
      <w:r>
        <w:rPr>
          <w:rFonts w:ascii="Arial" w:eastAsia="黑体" w:hAnsi="Arial"/>
        </w:rPr>
        <w:t xml:space="preserve">二、十个候选方向的横向比较</w:t>
      </w:r>
    </w:p>
    <w:p>
      <w:pPr>
        <w:spacing w:after="120" w:line="360" w:lineRule="auto"/>
        <w:ind w:firstLine="420"/>
        <w:jc w:val="both"/>
      </w:pPr>
      <w:r>
        <w:rPr>
          <w:rFonts w:ascii="Times New Roman" w:eastAsia="宋体" w:hAnsi="Times New Roman"/>
        </w:rPr>
        <w:t xml:space="preserve">评分栏为“临床价值 / 创新性 / 可行性”，各项满分 3 分。成本指直接费用与平台依赖程度，低成本方向几乎只消耗人力，适合作为第一个课题或研究生课题先跑通流程。</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2346"/>
        <w:gridCol w:w="2707"/>
        <w:gridCol w:w="1173"/>
        <w:gridCol w:w="812"/>
        <w:gridCol w:w="541"/>
        <w:gridCol w:w="1447"/>
      </w:tblGrid>
      <w:tr>
        <w:trPr>
          <w:tblHeader/>
        </w:trPr>
        <w:tc>
          <w:tcPr>
            <w:tcW w:type="dxa" w:w="2346"/>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方向</w:t>
            </w:r>
          </w:p>
        </w:tc>
        <w:tc>
          <w:tcPr>
            <w:tcW w:type="dxa" w:w="270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核心科学问题</w:t>
            </w:r>
          </w:p>
        </w:tc>
        <w:tc>
          <w:tcPr>
            <w:tcW w:type="dxa" w:w="1173"/>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研究类型</w:t>
            </w:r>
          </w:p>
        </w:tc>
        <w:tc>
          <w:tcPr>
            <w:tcW w:type="dxa" w:w="812"/>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价值/创新/可行</w:t>
            </w:r>
          </w:p>
        </w:tc>
        <w:tc>
          <w:tcPr>
            <w:tcW w:type="dxa" w:w="541"/>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成本</w:t>
            </w:r>
          </w:p>
        </w:tc>
        <w:tc>
          <w:tcPr>
            <w:tcW w:type="dxa" w:w="144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适合层次</w:t>
            </w:r>
          </w:p>
        </w:tc>
      </w:tr>
      <w:tr>
        <w:tc>
          <w:tcPr>
            <w:tcW w:type="dxa" w:w="2346"/>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HSCR 术后肠炎的菌群–SCFA–免疫轴（首推）</w:t>
            </w:r>
          </w:p>
        </w:tc>
        <w:tc>
          <w:tcPr>
            <w:tcW w:type="dxa" w:w="2707"/>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产丁酸菌减少是否通过丁酸不足削弱黏膜屏障与 Treg 应答，从而在术后菌群重塑期触发 HAEC？能否据此提前预警？</w:t>
            </w:r>
          </w:p>
        </w:tc>
        <w:tc>
          <w:tcPr>
            <w:tcW w:type="dxa" w:w="1173"/>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回顾+前瞻队列+多组学+动物</w:t>
            </w:r>
          </w:p>
        </w:tc>
        <w:tc>
          <w:tcPr>
            <w:tcW w:type="dxa" w:w="812"/>
            <w:shd w:fill="E4E7F4" w:color="auto" w:val="clear"/>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3 / 2</w:t>
            </w:r>
          </w:p>
        </w:tc>
        <w:tc>
          <w:tcPr>
            <w:tcW w:type="dxa" w:w="541"/>
            <w:shd w:fill="E4E7F4" w:color="auto" w:val="clear"/>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中高</w:t>
            </w:r>
          </w:p>
        </w:tc>
        <w:tc>
          <w:tcPr>
            <w:tcW w:type="dxa" w:w="1447"/>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国自然青年 / 面上</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NEC 手术时机的动态预警</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肠道超声评分联合血清 I-FABP、粪钙卫蛋白能否比临床经验更早识别需手术的患儿？</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前瞻诊断准确性研究</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2 / 2</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省市级 / 国自然青年</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ARM 远期排便功能与生活质量（方案 B）</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哪些可改变的因素（术式、手术年龄、是否进入规范化肠管理）真正决定学龄期控便结局？</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回顾队列+横断面随访</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1 / 3</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低</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院级 / 省市级</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肠套叠复发风险预测</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初诊超声特征加临床变量能否预测水压复位后的早期复发，指导观察时长？</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回顾队列+机器学习</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2 / 1 / 3</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低</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院级（最快出文章）</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小儿胃肠手术 ERAS 方案</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在低龄患儿中，缩短禁食、免置胃管、早期喂养的组合是否安全且能缩短住院日？</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前后对照 / 阶梯楔形试验</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1 / 3</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低</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院级质控 + 省市级</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食管闭锁术后吻合口狭窄</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吻合张力、GER 程度能否预测需反复扩张的狭窄？预防性扩张是否优于按需扩张？</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回顾建模 + 小样本 RCT</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2 / 2 / 2</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省市级 / 国自然青年</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短肠综合征肠康复路径</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GLP-2 类似物与肠康复方案下，肠适应过程伴随怎样的菌群与胆汁酸代谢变化？</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小样本前瞻队列</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2 / 1</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省市级（病例量是瓶颈）</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胆道闭锁 Kasai 术后自体肝生存</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血清 MMP-7 联合肝硬度、术中所见能否构建优于现有指标的自体肝生存预测模型？</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 + 前瞻验证</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3 / 2 / 2</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国自然青年 / 省市级</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HSCR 过渡区空间转录组</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过渡区的细胞组成与神经–胶质–免疫微环境，能否解释切除范围不足导致的再手术？</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基础为主（标本驱动）</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2 / 3 / 1</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高</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国自然面上（需合作平台）</w:t>
            </w:r>
          </w:p>
        </w:tc>
      </w:tr>
      <w:tr>
        <w:tc>
          <w:tcPr>
            <w:tcW w:type="dxa" w:w="234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婴幼儿术后喂养不耐受与菌群</w:t>
            </w:r>
          </w:p>
        </w:tc>
        <w:tc>
          <w:tcPr>
            <w:tcW w:type="dxa" w:w="27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术前菌群构成能否预测胃肠手术后喂养不耐受，指导肠内营养启动策略？</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前瞻队列</w:t>
            </w:r>
          </w:p>
        </w:tc>
        <w:tc>
          <w:tcPr>
            <w:tcW w:type="dxa" w:w="81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2 / 2 / 2</w:t>
            </w:r>
          </w:p>
        </w:tc>
        <w:tc>
          <w:tcPr>
            <w:tcW w:type="dxa" w:w="541"/>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144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省市级</w:t>
            </w:r>
          </w:p>
        </w:tc>
      </w:tr>
    </w:tbl>
    <w:p>
      <w:pPr>
        <w:spacing w:after="160"/>
      </w:pPr>
    </w:p>
    <w:p>
      <w:pPr>
        <w:pStyle w:val="Heading2"/>
        <w:spacing w:after="120" w:before="240"/>
      </w:pPr>
      <w:r>
        <w:rPr>
          <w:rFonts w:ascii="Arial" w:eastAsia="黑体" w:hAnsi="Arial"/>
        </w:rPr>
        <w:t xml:space="preserve">为什么首推第一个方向</w:t>
      </w:r>
    </w:p>
    <w:p>
      <w:pPr>
        <w:spacing w:after="120" w:line="360" w:lineRule="auto"/>
        <w:ind w:firstLine="420"/>
        <w:jc w:val="both"/>
      </w:pPr>
      <w:r>
        <w:rPr>
          <w:rFonts w:ascii="Times New Roman" w:eastAsia="宋体" w:hAnsi="Times New Roman"/>
        </w:rPr>
        <w:t xml:space="preserve">一是病例集中：HSCR 是小儿胃肠外科最稳定的病种来源，一个中心的历史病例足以支撑回顾建模；二是临床痛点明确：HAEC 是术后再入院与死亡的首位原因，现行 Delphi 评分是事后诊断，临床缺的是预警；三是机制层次完整：菌群→代谢物→免疫→表型，能写出真正的因果链而不是相关性；四是可衍生：同一套队列和样本库还能长出排便功能、过渡区病理、喂养不耐受等后续课题。</w:t>
      </w:r>
    </w:p>
    <w:p>
      <w:pPr>
        <w:pStyle w:val="Heading1"/>
        <w:spacing w:after="160" w:before="360"/>
      </w:pPr>
      <w:r>
        <w:rPr>
          <w:rFonts w:ascii="Arial" w:eastAsia="黑体" w:hAnsi="Arial"/>
        </w:rPr>
        <w:t xml:space="preserve">三、主攻方案：立项依据与科学假设</w:t>
      </w:r>
    </w:p>
    <w:tbl>
      <w:tblPr>
        <w:tblW w:type="dxa" w:w="9026"/>
        <w:tblBorders>
          <w:top w:val="single" w:color="1C1E2B" w:sz="8"/>
          <w:left w:val="single" w:color="1C1E2B" w:sz="8"/>
          <w:bottom w:val="single" w:color="1C1E2B" w:sz="8"/>
          <w:right w:val="single" w:color="1C1E2B" w:sz="8"/>
          <w:insideH w:val="none" w:color="auto" w:sz="0"/>
          <w:insideV w:val="none" w:color="auto" w:sz="0"/>
        </w:tblBorders>
      </w:tblPr>
      <w:tblGrid>
        <w:gridCol w:w="9026"/>
      </w:tblGrid>
      <w:tr>
        <w:tc>
          <w:tcPr>
            <w:tcW w:type="dxa" w:w="9026"/>
            <w:tcMar>
              <w:top w:type="dxa" w:w="160"/>
              <w:left w:type="dxa" w:w="220"/>
              <w:bottom w:type="dxa" w:w="160"/>
              <w:right w:type="dxa" w:w="220"/>
            </w:tcMar>
          </w:tcPr>
          <w:p>
            <w:pPr>
              <w:spacing w:line="340" w:lineRule="auto"/>
              <w:jc w:val="both"/>
            </w:pPr>
            <w:r>
              <w:rPr>
                <w:rFonts w:ascii="Arial" w:eastAsia="黑体" w:hAnsi="Arial"/>
                <w:b/>
                <w:bCs/>
                <w:sz w:val="26"/>
                <w:szCs w:val="26"/>
              </w:rPr>
              <w:t xml:space="preserve">肠道菌群—短链脂肪酸—黏膜免疫轴在先天性巨结肠术后肠炎中的作用机制及风险预测模型构建</w:t>
            </w:r>
          </w:p>
        </w:tc>
      </w:tr>
    </w:tbl>
    <w:p>
      <w:pPr>
        <w:spacing w:after="160"/>
      </w:pPr>
    </w:p>
    <w:p>
      <w:pPr>
        <w:pStyle w:val="Heading2"/>
        <w:spacing w:after="120" w:before="240"/>
      </w:pPr>
      <w:r>
        <w:rPr>
          <w:rFonts w:ascii="Arial" w:eastAsia="黑体" w:hAnsi="Arial"/>
        </w:rPr>
        <w:t xml:space="preserve">科学假设</w:t>
      </w:r>
    </w:p>
    <w:p>
      <w:pPr>
        <w:spacing w:after="120" w:line="360" w:lineRule="auto"/>
        <w:ind w:firstLine="420"/>
        <w:jc w:val="both"/>
      </w:pPr>
      <w:r>
        <w:rPr>
          <w:rFonts w:ascii="Times New Roman" w:eastAsia="宋体" w:hAnsi="Times New Roman"/>
        </w:rPr>
        <w:t xml:space="preserve">HAEC 易感个体在术前及术后早期即存在产丁酸菌（Faecalibacterium、Roseburia 等）减少，导致肠腔丁酸不足；丁酸经 GPR43/GPR109A 受体与组蛋白去乙酰化酶抑制两条途径，维持 Treg 诱导、Muc2 黏液屏障与 ILC3–IL-22–抗菌肽应答。上述供给不足时，术后菌群重塑窗口期即成为肠炎的触发点。该失衡可在临床发病前由粪便菌群与代谢物捕获，用于风险预测；补充丁酸或定植产丁酸菌可降低发生率。</w:t>
      </w:r>
    </w:p>
    <w:p>
      <w:pPr>
        <w:pStyle w:val="Heading2"/>
        <w:spacing w:after="120" w:before="240"/>
      </w:pPr>
      <w:r>
        <w:rPr>
          <w:rFonts w:ascii="Arial" w:eastAsia="黑体" w:hAnsi="Arial"/>
        </w:rPr>
        <w:t xml:space="preserve">立项依据</w:t>
      </w:r>
    </w:p>
    <w:p>
      <w:pPr>
        <w:spacing w:after="120" w:line="360" w:lineRule="auto"/>
        <w:ind w:firstLine="420"/>
        <w:jc w:val="both"/>
      </w:pPr>
      <w:r>
        <w:rPr>
          <w:rFonts w:ascii="Times New Roman" w:eastAsia="宋体" w:hAnsi="Times New Roman"/>
        </w:rPr>
        <w:t xml:space="preserve">HSCR 发病率约 1/5000 活产，根治术后 HAEC 发生率报道在 20%–45% 之间。现状有三个缺口：</w:t>
      </w:r>
      <w:r>
        <w:rPr>
          <w:rFonts w:ascii="Times New Roman" w:eastAsia="宋体" w:hAnsi="Times New Roman"/>
          <w:b/>
          <w:bCs/>
        </w:rPr>
        <w:t xml:space="preserve">其一</w:t>
      </w:r>
      <w:r>
        <w:rPr>
          <w:rFonts w:ascii="Times New Roman" w:eastAsia="宋体" w:hAnsi="Times New Roman"/>
        </w:rPr>
        <w:t xml:space="preserve">，诊断依赖 2009 年 Delphi 共识的症状–体征–影像评分，本质是事后确认，没有预警工具；</w:t>
      </w:r>
      <w:r>
        <w:rPr>
          <w:rFonts w:ascii="Times New Roman" w:eastAsia="宋体" w:hAnsi="Times New Roman"/>
          <w:b/>
          <w:bCs/>
        </w:rPr>
        <w:t xml:space="preserve">其二</w:t>
      </w:r>
      <w:r>
        <w:rPr>
          <w:rFonts w:ascii="Times New Roman" w:eastAsia="宋体" w:hAnsi="Times New Roman"/>
        </w:rPr>
        <w:t xml:space="preserve">，已知临床危险因素（长段型/全结肠型、21-三体、术前肠炎史、吻合口狭窄、诊断延迟）单独建模的区分度多在 AUC 0.65–0.75，不足以支撑个体化随访；</w:t>
      </w:r>
      <w:r>
        <w:rPr>
          <w:rFonts w:ascii="Times New Roman" w:eastAsia="宋体" w:hAnsi="Times New Roman"/>
          <w:b/>
          <w:bCs/>
        </w:rPr>
        <w:t xml:space="preserve">其三</w:t>
      </w:r>
      <w:r>
        <w:rPr>
          <w:rFonts w:ascii="Times New Roman" w:eastAsia="宋体" w:hAnsi="Times New Roman"/>
        </w:rPr>
        <w:t xml:space="preserve">，菌群失调（肠杆菌科富集、产丁酸菌与多样性下降、真菌过度生长）已有多项描述性报道，但停留在组间差异，</w:t>
      </w:r>
      <w:r>
        <w:rPr>
          <w:rFonts w:ascii="Times New Roman" w:eastAsia="宋体" w:hAnsi="Times New Roman"/>
          <w:b/>
          <w:bCs/>
        </w:rPr>
        <w:t xml:space="preserve">因果方向与可干预靶点均未明确</w:t>
      </w:r>
      <w:r>
        <w:rPr>
          <w:rFonts w:ascii="Times New Roman" w:eastAsia="宋体" w:hAnsi="Times New Roman"/>
        </w:rPr>
        <w:t xml:space="preserve">。本课题的定位就是把这三个缺口串起来：先做出能用的预测工具，再用组学找出标志物，最后用动物实验把因果坐实。</w:t>
      </w:r>
    </w:p>
    <w:p>
      <w:pPr>
        <w:pStyle w:val="Heading1"/>
        <w:spacing w:after="160" w:before="360"/>
      </w:pPr>
      <w:r>
        <w:rPr>
          <w:rFonts w:ascii="Arial" w:eastAsia="黑体" w:hAnsi="Arial"/>
        </w:rPr>
        <w:t xml:space="preserve">四、研究内容</w:t>
      </w:r>
    </w:p>
    <w:p>
      <w:pPr>
        <w:spacing w:after="120" w:line="360" w:lineRule="auto"/>
        <w:ind w:firstLine="420"/>
        <w:jc w:val="both"/>
      </w:pPr>
      <w:r>
        <w:rPr>
          <w:rFonts w:ascii="Times New Roman" w:eastAsia="宋体" w:hAnsi="Times New Roman"/>
        </w:rPr>
        <w:t xml:space="preserve">三部分不是并列的三个小课题，而是一条链：内容一先用临床变量做出可用的基线模型，内容二用组学标志物去提升它并给出机制线索，内容三验证这条机制是否成立、能否被干预。</w:t>
      </w:r>
    </w:p>
    <w:p>
      <w:pPr>
        <w:pStyle w:val="Heading2"/>
        <w:spacing w:after="120" w:before="240"/>
      </w:pPr>
      <w:r>
        <w:rPr>
          <w:rFonts w:ascii="Arial" w:eastAsia="黑体" w:hAnsi="Arial"/>
        </w:rPr>
        <w:t xml:space="preserve">研究内容一　临床风险预测模型的构建与验证</w:t>
      </w:r>
    </w:p>
    <w:p>
      <w:pPr>
        <w:spacing w:after="100" w:line="340" w:lineRule="auto"/>
        <w:ind w:left="640" w:hanging="640"/>
        <w:jc w:val="both"/>
      </w:pPr>
      <w:r>
        <w:rPr>
          <w:rFonts w:ascii="Times New Roman" w:eastAsia="宋体" w:hAnsi="Times New Roman"/>
          <w:b/>
          <w:bCs/>
        </w:rPr>
        <w:t xml:space="preserve">队列　</w:t>
      </w:r>
      <w:r>
        <w:rPr>
          <w:rFonts w:ascii="Times New Roman" w:eastAsia="宋体" w:hAnsi="Times New Roman"/>
        </w:rPr>
        <w:t xml:space="preserve">回顾性纳入近 8–10 年行根治术的 HSCR 患儿，目标 </w:t>
      </w:r>
      <w:r>
        <w:rPr>
          <w:rFonts w:ascii="Times New Roman" w:eastAsia="宋体" w:hAnsi="Times New Roman"/>
          <w:b/>
          <w:bCs/>
        </w:rPr>
        <w:t xml:space="preserve">n ≈ 430</w:t>
      </w:r>
      <w:r>
        <w:rPr>
          <w:rFonts w:ascii="Times New Roman" w:eastAsia="宋体" w:hAnsi="Times New Roman"/>
        </w:rPr>
        <w:t xml:space="preserve">（预计 HAEC 事件 110–130 例）；前瞻队列 </w:t>
      </w:r>
      <w:r>
        <w:rPr>
          <w:rFonts w:ascii="Times New Roman" w:eastAsia="宋体" w:hAnsi="Times New Roman"/>
          <w:b/>
          <w:bCs/>
        </w:rPr>
        <w:t xml:space="preserve">n ≈ 120</w:t>
      </w:r>
      <w:r>
        <w:rPr>
          <w:rFonts w:ascii="Times New Roman" w:eastAsia="宋体" w:hAnsi="Times New Roman"/>
        </w:rPr>
        <w:t xml:space="preserve"> 作时间外部验证。</w:t>
      </w:r>
    </w:p>
    <w:p>
      <w:pPr>
        <w:spacing w:after="100" w:line="340" w:lineRule="auto"/>
        <w:ind w:left="640" w:hanging="640"/>
        <w:jc w:val="both"/>
      </w:pPr>
      <w:r>
        <w:rPr>
          <w:rFonts w:ascii="Times New Roman" w:eastAsia="宋体" w:hAnsi="Times New Roman"/>
          <w:b/>
          <w:bCs/>
        </w:rPr>
        <w:t xml:space="preserve">结局　</w:t>
      </w:r>
      <w:r>
        <w:rPr>
          <w:rFonts w:ascii="Times New Roman" w:eastAsia="宋体" w:hAnsi="Times New Roman"/>
        </w:rPr>
        <w:t xml:space="preserve">术后 12 个月内首次 HAEC，采用 </w:t>
      </w:r>
      <w:r>
        <w:rPr>
          <w:rFonts w:ascii="Times New Roman" w:eastAsia="宋体" w:hAnsi="Times New Roman"/>
          <w:b/>
          <w:bCs/>
        </w:rPr>
        <w:t xml:space="preserve">Delphi 共识评分 ≥ 4 分</w:t>
      </w:r>
      <w:r>
        <w:rPr>
          <w:rFonts w:ascii="Times New Roman" w:eastAsia="宋体" w:hAnsi="Times New Roman"/>
        </w:rPr>
        <w:t xml:space="preserve"> 为诊断阈值；双人独立盲评并计算 κ 一致性，分歧提交终点判定委员会裁定。</w:t>
      </w:r>
    </w:p>
    <w:p>
      <w:pPr>
        <w:spacing w:after="100" w:line="340" w:lineRule="auto"/>
        <w:ind w:left="640" w:hanging="640"/>
        <w:jc w:val="both"/>
      </w:pPr>
      <w:r>
        <w:rPr>
          <w:rFonts w:ascii="Times New Roman" w:eastAsia="宋体" w:hAnsi="Times New Roman"/>
          <w:b/>
          <w:bCs/>
        </w:rPr>
        <w:t xml:space="preserve">预测因子　</w:t>
      </w:r>
      <w:r>
        <w:rPr>
          <w:rFonts w:ascii="Times New Roman" w:eastAsia="宋体" w:hAnsi="Times New Roman"/>
        </w:rPr>
        <w:t xml:space="preserve">候选变量控制在 </w:t>
      </w:r>
      <w:r>
        <w:rPr>
          <w:rFonts w:ascii="Times New Roman" w:eastAsia="宋体" w:hAnsi="Times New Roman"/>
          <w:b/>
          <w:bCs/>
        </w:rPr>
        <w:t xml:space="preserve">≤ 12 个</w:t>
      </w:r>
      <w:r>
        <w:rPr>
          <w:rFonts w:ascii="Times New Roman" w:eastAsia="宋体" w:hAnsi="Times New Roman"/>
        </w:rPr>
        <w:t xml:space="preserve">：病变肠段长度、术式、伴发畸形与 21-三体、术前肠炎次数、手术月龄、术后首次排便时间、吻合口狭窄、术后抗生素暴露天数、喂养方式、体重 Z 值、术前白蛋白、术后 CRP 峰值。</w:t>
      </w:r>
    </w:p>
    <w:p>
      <w:pPr>
        <w:spacing w:after="100" w:line="340" w:lineRule="auto"/>
        <w:ind w:left="640" w:hanging="640"/>
        <w:jc w:val="both"/>
      </w:pPr>
      <w:r>
        <w:rPr>
          <w:rFonts w:ascii="Times New Roman" w:eastAsia="宋体" w:hAnsi="Times New Roman"/>
          <w:b/>
          <w:bCs/>
        </w:rPr>
        <w:t xml:space="preserve">建模　</w:t>
      </w:r>
      <w:r>
        <w:rPr>
          <w:rFonts w:ascii="Times New Roman" w:eastAsia="宋体" w:hAnsi="Times New Roman"/>
        </w:rPr>
        <w:t xml:space="preserve">LASSO 初筛 + 多因素 Cox（以死亡与再手术为竞争风险时改用 Fine–Gray），10 折交叉验证评估区分度与校准度，输出</w:t>
      </w:r>
      <w:r>
        <w:rPr>
          <w:rFonts w:ascii="Times New Roman" w:eastAsia="宋体" w:hAnsi="Times New Roman"/>
          <w:b/>
          <w:bCs/>
        </w:rPr>
        <w:t xml:space="preserve">列线图</w:t>
      </w:r>
      <w:r>
        <w:rPr>
          <w:rFonts w:ascii="Times New Roman" w:eastAsia="宋体" w:hAnsi="Times New Roman"/>
        </w:rPr>
        <w:t xml:space="preserve">；按 TRIPOD 规范报告。</w:t>
      </w:r>
    </w:p>
    <w:p>
      <w:pPr>
        <w:spacing w:after="100" w:line="340" w:lineRule="auto"/>
        <w:ind w:left="640" w:hanging="640"/>
        <w:jc w:val="both"/>
      </w:pPr>
      <w:r>
        <w:rPr>
          <w:rFonts w:ascii="Times New Roman" w:eastAsia="宋体" w:hAnsi="Times New Roman"/>
          <w:b/>
          <w:bCs/>
        </w:rPr>
        <w:t xml:space="preserve">产出　</w:t>
      </w:r>
      <w:r>
        <w:rPr>
          <w:rFonts w:ascii="Times New Roman" w:eastAsia="宋体" w:hAnsi="Times New Roman"/>
        </w:rPr>
        <w:t xml:space="preserve">列线图 + 门诊可用的网页 / 小程序风险计算器（申请软件著作权），第一篇论文在第 12 个月前投出。</w:t>
      </w:r>
    </w:p>
    <w:p>
      <w:pPr>
        <w:pStyle w:val="Heading2"/>
        <w:spacing w:after="120" w:before="240"/>
      </w:pPr>
      <w:r>
        <w:rPr>
          <w:rFonts w:ascii="Arial" w:eastAsia="黑体" w:hAnsi="Arial"/>
        </w:rPr>
        <w:t xml:space="preserve">研究内容二　多组学关联与标志物发现</w:t>
      </w:r>
    </w:p>
    <w:p>
      <w:pPr>
        <w:spacing w:after="100" w:line="340" w:lineRule="auto"/>
        <w:ind w:left="640" w:hanging="640"/>
        <w:jc w:val="both"/>
      </w:pPr>
      <w:r>
        <w:rPr>
          <w:rFonts w:ascii="Times New Roman" w:eastAsia="宋体" w:hAnsi="Times New Roman"/>
          <w:b/>
          <w:bCs/>
        </w:rPr>
        <w:t xml:space="preserve">采样　</w:t>
      </w:r>
      <w:r>
        <w:rPr>
          <w:rFonts w:ascii="Times New Roman" w:eastAsia="宋体" w:hAnsi="Times New Roman"/>
        </w:rPr>
        <w:t xml:space="preserve">前瞻入组 120 例，固定时点采集粪便与血清：</w:t>
      </w:r>
      <w:r>
        <w:rPr>
          <w:rFonts w:ascii="Times New Roman" w:eastAsia="宋体" w:hAnsi="Times New Roman"/>
          <w:b/>
          <w:bCs/>
        </w:rPr>
        <w:t xml:space="preserve">术前、术后 1 周、1 个月、3 个月、6 个月</w:t>
      </w:r>
      <w:r>
        <w:rPr>
          <w:rFonts w:ascii="Times New Roman" w:eastAsia="宋体" w:hAnsi="Times New Roman"/>
        </w:rPr>
        <w:t xml:space="preserve">，发生 HAEC 时加采一次急性期样本。采样至 −80 ℃ 冻存控制在 2 小时内。</w:t>
      </w:r>
    </w:p>
    <w:p>
      <w:pPr>
        <w:spacing w:after="100" w:line="340" w:lineRule="auto"/>
        <w:ind w:left="640" w:hanging="640"/>
        <w:jc w:val="both"/>
      </w:pPr>
      <w:r>
        <w:rPr>
          <w:rFonts w:ascii="Times New Roman" w:eastAsia="宋体" w:hAnsi="Times New Roman"/>
          <w:b/>
          <w:bCs/>
        </w:rPr>
        <w:t xml:space="preserve">检测　</w:t>
      </w:r>
      <w:r>
        <w:rPr>
          <w:rFonts w:ascii="Times New Roman" w:eastAsia="宋体" w:hAnsi="Times New Roman"/>
        </w:rPr>
        <w:t xml:space="preserve">全部样本行粪便 </w:t>
      </w:r>
      <w:r>
        <w:rPr>
          <w:rFonts w:ascii="Times New Roman" w:eastAsia="宋体" w:hAnsi="Times New Roman"/>
          <w:b/>
          <w:bCs/>
        </w:rPr>
        <w:t xml:space="preserve">16S rRNA V3–V4</w:t>
      </w:r>
      <w:r>
        <w:rPr>
          <w:rFonts w:ascii="Times New Roman" w:eastAsia="宋体" w:hAnsi="Times New Roman"/>
        </w:rPr>
        <w:t xml:space="preserve"> 测序；按结局分层挑选 40–60 例加做宏基因组；GC-MS 靶向测定粪便与血清短链脂肪酸，并行非靶向代谢组；粪便钙卫蛋白与 sIgA；切除肠段及随访黏膜标本行 Muc2、Reg3γ、FOXP3/IL-17A 免疫组化与 qPCR；预留 10 例做黏膜单细胞测序。</w:t>
      </w:r>
    </w:p>
    <w:p>
      <w:pPr>
        <w:spacing w:after="100" w:line="340" w:lineRule="auto"/>
        <w:ind w:left="640" w:hanging="640"/>
        <w:jc w:val="both"/>
      </w:pPr>
      <w:r>
        <w:rPr>
          <w:rFonts w:ascii="Times New Roman" w:eastAsia="宋体" w:hAnsi="Times New Roman"/>
          <w:b/>
          <w:bCs/>
        </w:rPr>
        <w:t xml:space="preserve">分析　</w:t>
      </w:r>
      <w:r>
        <w:rPr>
          <w:rFonts w:ascii="Times New Roman" w:eastAsia="宋体" w:hAnsi="Times New Roman"/>
        </w:rPr>
        <w:t xml:space="preserve">LEfSe 与 MaAsLin2 找差异菌属，构建菌群–代谢物–免疫指标三元相关网络；关键一步是</w:t>
      </w:r>
      <w:r>
        <w:rPr>
          <w:rFonts w:ascii="Times New Roman" w:eastAsia="宋体" w:hAnsi="Times New Roman"/>
          <w:b/>
          <w:bCs/>
        </w:rPr>
        <w:t xml:space="preserve">中介分析</w:t>
      </w:r>
      <w:r>
        <w:rPr>
          <w:rFonts w:ascii="Times New Roman" w:eastAsia="宋体" w:hAnsi="Times New Roman"/>
        </w:rPr>
        <w:t xml:space="preserve">：检验“菌群改变 → 丁酸下降 → 免疫失衡 → HAEC”这条通路的中介效应。</w:t>
      </w:r>
    </w:p>
    <w:p>
      <w:pPr>
        <w:spacing w:after="100" w:line="340" w:lineRule="auto"/>
        <w:ind w:left="640" w:hanging="640"/>
        <w:jc w:val="both"/>
      </w:pPr>
      <w:r>
        <w:rPr>
          <w:rFonts w:ascii="Times New Roman" w:eastAsia="宋体" w:hAnsi="Times New Roman"/>
          <w:b/>
          <w:bCs/>
        </w:rPr>
        <w:t xml:space="preserve">融合　</w:t>
      </w:r>
      <w:r>
        <w:rPr>
          <w:rFonts w:ascii="Times New Roman" w:eastAsia="宋体" w:hAnsi="Times New Roman"/>
        </w:rPr>
        <w:t xml:space="preserve">把入选标志物加入内容一的模型，比较 clinical 与 clinical + omics 两版的 AUC 增量、</w:t>
      </w:r>
      <w:r>
        <w:rPr>
          <w:rFonts w:ascii="Times New Roman" w:eastAsia="宋体" w:hAnsi="Times New Roman"/>
          <w:b/>
          <w:bCs/>
        </w:rPr>
        <w:t xml:space="preserve">NRI 与 IDI</w:t>
      </w:r>
      <w:r>
        <w:rPr>
          <w:rFonts w:ascii="Times New Roman" w:eastAsia="宋体" w:hAnsi="Times New Roman"/>
        </w:rPr>
        <w:t xml:space="preserve">，用决策曲线分析证明临床净收益，而不是只报 P 值。</w:t>
      </w:r>
    </w:p>
    <w:p>
      <w:pPr>
        <w:pStyle w:val="Heading2"/>
        <w:spacing w:after="120" w:before="240"/>
      </w:pPr>
      <w:r>
        <w:rPr>
          <w:rFonts w:ascii="Arial" w:eastAsia="黑体" w:hAnsi="Arial"/>
        </w:rPr>
        <w:t xml:space="preserve">研究内容三　因果验证与干预（动物实验）</w:t>
      </w:r>
    </w:p>
    <w:p>
      <w:pPr>
        <w:spacing w:after="100" w:line="340" w:lineRule="auto"/>
        <w:ind w:left="640" w:hanging="640"/>
        <w:jc w:val="both"/>
      </w:pPr>
      <w:r>
        <w:rPr>
          <w:rFonts w:ascii="Times New Roman" w:eastAsia="宋体" w:hAnsi="Times New Roman"/>
          <w:b/>
          <w:bCs/>
        </w:rPr>
        <w:t xml:space="preserve">模型　</w:t>
      </w:r>
      <w:r>
        <w:rPr>
          <w:rFonts w:ascii="Times New Roman" w:eastAsia="宋体" w:hAnsi="Times New Roman"/>
        </w:rPr>
        <w:t xml:space="preserve">采用 </w:t>
      </w:r>
      <w:r>
        <w:rPr>
          <w:rFonts w:ascii="Times New Roman" w:eastAsia="宋体" w:hAnsi="Times New Roman"/>
          <w:b/>
          <w:bCs/>
        </w:rPr>
        <w:t xml:space="preserve">Ednrb s-l/s-l（piebald-lethal）</w:t>
      </w:r>
      <w:r>
        <w:rPr>
          <w:rFonts w:ascii="Times New Roman" w:eastAsia="宋体" w:hAnsi="Times New Roman"/>
        </w:rPr>
        <w:t xml:space="preserve"> 或 Ret 突变小鼠的自发性肠炎模型，以野生同窝鼠为对照。</w:t>
      </w:r>
    </w:p>
    <w:p>
      <w:pPr>
        <w:spacing w:after="100" w:line="340" w:lineRule="auto"/>
        <w:ind w:left="640" w:hanging="640"/>
        <w:jc w:val="both"/>
      </w:pPr>
      <w:r>
        <w:rPr>
          <w:rFonts w:ascii="Times New Roman" w:eastAsia="宋体" w:hAnsi="Times New Roman"/>
          <w:b/>
          <w:bCs/>
        </w:rPr>
        <w:t xml:space="preserve">粪菌移植　</w:t>
      </w:r>
      <w:r>
        <w:rPr>
          <w:rFonts w:ascii="Times New Roman" w:eastAsia="宋体" w:hAnsi="Times New Roman"/>
        </w:rPr>
        <w:t xml:space="preserve">将 HAEC 与非 HAEC 患儿粪便分别移植给抗生素预处理（或无菌）小鼠，观察是否复现表型差异——这是本课题把相关性推向因果的关键实验。</w:t>
      </w:r>
    </w:p>
    <w:p>
      <w:pPr>
        <w:spacing w:after="100" w:line="340" w:lineRule="auto"/>
        <w:ind w:left="640" w:hanging="640"/>
        <w:jc w:val="both"/>
      </w:pPr>
      <w:r>
        <w:rPr>
          <w:rFonts w:ascii="Times New Roman" w:eastAsia="宋体" w:hAnsi="Times New Roman"/>
          <w:b/>
          <w:bCs/>
        </w:rPr>
        <w:t xml:space="preserve">干预与拮抗　</w:t>
      </w:r>
      <w:r>
        <w:rPr>
          <w:rFonts w:ascii="Times New Roman" w:eastAsia="宋体" w:hAnsi="Times New Roman"/>
        </w:rPr>
        <w:t xml:space="preserve">丁酸钠灌胃或产丁酸菌定植观察保护效应；再用 </w:t>
      </w:r>
      <w:r>
        <w:rPr>
          <w:rFonts w:ascii="Times New Roman" w:eastAsia="宋体" w:hAnsi="Times New Roman"/>
          <w:b/>
          <w:bCs/>
        </w:rPr>
        <w:t xml:space="preserve">Ffar2（GPR43）缺陷小鼠</w:t>
      </w:r>
      <w:r>
        <w:rPr>
          <w:rFonts w:ascii="Times New Roman" w:eastAsia="宋体" w:hAnsi="Times New Roman"/>
        </w:rPr>
        <w:t xml:space="preserve"> 或 HDAC 抑制剂拮抗，验证保护作用是否依赖该通路。</w:t>
      </w:r>
    </w:p>
    <w:p>
      <w:pPr>
        <w:spacing w:after="100" w:line="340" w:lineRule="auto"/>
        <w:ind w:left="640" w:hanging="640"/>
        <w:jc w:val="both"/>
      </w:pPr>
      <w:r>
        <w:rPr>
          <w:rFonts w:ascii="Times New Roman" w:eastAsia="宋体" w:hAnsi="Times New Roman"/>
          <w:b/>
          <w:bCs/>
        </w:rPr>
        <w:t xml:space="preserve">读出　</w:t>
      </w:r>
      <w:r>
        <w:rPr>
          <w:rFonts w:ascii="Times New Roman" w:eastAsia="宋体" w:hAnsi="Times New Roman"/>
        </w:rPr>
        <w:t xml:space="preserve">肠炎组织学评分与生存、杯状细胞与 Muc2、Treg/Th17 流式比例、Reg3γ 与紧密连接蛋白表达、FITC-dextran 肠道通透性。</w:t>
      </w:r>
    </w:p>
    <w:p>
      <w:pPr>
        <w:spacing w:after="100" w:line="340" w:lineRule="auto"/>
        <w:ind w:left="640" w:hanging="640"/>
        <w:jc w:val="both"/>
      </w:pPr>
      <w:r>
        <w:rPr>
          <w:rFonts w:ascii="Times New Roman" w:eastAsia="宋体" w:hAnsi="Times New Roman"/>
          <w:b/>
          <w:bCs/>
        </w:rPr>
        <w:t xml:space="preserve">去向　</w:t>
      </w:r>
      <w:r>
        <w:rPr>
          <w:rFonts w:ascii="Times New Roman" w:eastAsia="宋体" w:hAnsi="Times New Roman"/>
        </w:rPr>
        <w:t xml:space="preserve">机制链条闭环后，直接产出一份丁酸或益生菌预防 HAEC 的</w:t>
      </w:r>
      <w:r>
        <w:rPr>
          <w:rFonts w:ascii="Times New Roman" w:eastAsia="宋体" w:hAnsi="Times New Roman"/>
          <w:b/>
          <w:bCs/>
        </w:rPr>
        <w:t xml:space="preserve">随机对照试验方案</w:t>
      </w:r>
      <w:r>
        <w:rPr>
          <w:rFonts w:ascii="Times New Roman" w:eastAsia="宋体" w:hAnsi="Times New Roman"/>
        </w:rPr>
        <w:t xml:space="preserve">，作为下一轮课题的申报基础。</w:t>
      </w:r>
    </w:p>
    <w:p>
      <w:pPr>
        <w:pStyle w:val="Heading2"/>
        <w:spacing w:after="120" w:before="240"/>
      </w:pPr>
      <w:r>
        <w:rPr>
          <w:rFonts w:ascii="Arial" w:eastAsia="黑体" w:hAnsi="Arial"/>
        </w:rPr>
        <w:t xml:space="preserve">创新点（只写三条，每条都要能打透）</w:t>
      </w:r>
    </w:p>
    <w:p>
      <w:pPr>
        <w:spacing w:after="120" w:line="360" w:lineRule="auto"/>
        <w:ind w:firstLine="420"/>
        <w:jc w:val="both"/>
      </w:pPr>
      <w:r>
        <w:rPr>
          <w:rFonts w:ascii="Times New Roman" w:eastAsia="宋体" w:hAnsi="Times New Roman"/>
          <w:b/>
          <w:bCs/>
        </w:rPr>
        <w:t xml:space="preserve">一、</w:t>
      </w:r>
      <w:r>
        <w:rPr>
          <w:rFonts w:ascii="Times New Roman" w:eastAsia="宋体" w:hAnsi="Times New Roman"/>
        </w:rPr>
        <w:t xml:space="preserve">把 HAEC 菌群研究从描述组间差异推进到</w:t>
      </w:r>
      <w:r>
        <w:rPr>
          <w:rFonts w:ascii="Times New Roman" w:eastAsia="宋体" w:hAnsi="Times New Roman"/>
          <w:b/>
          <w:bCs/>
        </w:rPr>
        <w:t xml:space="preserve">中介分析加粪菌移植与通路拮抗的因果验证</w:t>
      </w:r>
      <w:r>
        <w:rPr>
          <w:rFonts w:ascii="Times New Roman" w:eastAsia="宋体" w:hAnsi="Times New Roman"/>
        </w:rPr>
        <w:t xml:space="preserve">；</w:t>
      </w:r>
    </w:p>
    <w:p>
      <w:pPr>
        <w:spacing w:after="120" w:line="360" w:lineRule="auto"/>
        <w:ind w:firstLine="420"/>
        <w:jc w:val="both"/>
      </w:pPr>
      <w:r>
        <w:rPr>
          <w:rFonts w:ascii="Times New Roman" w:eastAsia="宋体" w:hAnsi="Times New Roman"/>
          <w:b/>
          <w:bCs/>
        </w:rPr>
        <w:t xml:space="preserve">二、</w:t>
      </w:r>
      <w:r>
        <w:rPr>
          <w:rFonts w:ascii="Times New Roman" w:eastAsia="宋体" w:hAnsi="Times New Roman"/>
        </w:rPr>
        <w:t xml:space="preserve">建立国内首个含</w:t>
      </w:r>
      <w:r>
        <w:rPr>
          <w:rFonts w:ascii="Times New Roman" w:eastAsia="宋体" w:hAnsi="Times New Roman"/>
          <w:b/>
          <w:bCs/>
        </w:rPr>
        <w:t xml:space="preserve">术前至术后 6 个月时序生物样本</w:t>
      </w:r>
      <w:r>
        <w:rPr>
          <w:rFonts w:ascii="Times New Roman" w:eastAsia="宋体" w:hAnsi="Times New Roman"/>
        </w:rPr>
        <w:t xml:space="preserve">的 HSCR 专病队列与样本库；</w:t>
      </w:r>
    </w:p>
    <w:p>
      <w:pPr>
        <w:spacing w:after="120" w:line="360" w:lineRule="auto"/>
        <w:ind w:firstLine="420"/>
        <w:jc w:val="both"/>
      </w:pPr>
      <w:r>
        <w:rPr>
          <w:rFonts w:ascii="Times New Roman" w:eastAsia="宋体" w:hAnsi="Times New Roman"/>
          <w:b/>
          <w:bCs/>
        </w:rPr>
        <w:t xml:space="preserve">三、</w:t>
      </w:r>
      <w:r>
        <w:rPr>
          <w:rFonts w:ascii="Times New Roman" w:eastAsia="宋体" w:hAnsi="Times New Roman"/>
        </w:rPr>
        <w:t xml:space="preserve">产出可直接用于门诊分层随访的</w:t>
      </w:r>
      <w:r>
        <w:rPr>
          <w:rFonts w:ascii="Times New Roman" w:eastAsia="宋体" w:hAnsi="Times New Roman"/>
          <w:b/>
          <w:bCs/>
        </w:rPr>
        <w:t xml:space="preserve">预测工具</w:t>
      </w:r>
      <w:r>
        <w:rPr>
          <w:rFonts w:ascii="Times New Roman" w:eastAsia="宋体" w:hAnsi="Times New Roman"/>
        </w:rPr>
        <w:t xml:space="preserve">，而非停留在统计学关联。</w:t>
      </w:r>
    </w:p>
    <w:p>
      <w:pPr>
        <w:pStyle w:val="Heading1"/>
        <w:spacing w:after="160" w:before="360"/>
      </w:pPr>
      <w:r>
        <w:rPr>
          <w:rFonts w:ascii="Arial" w:eastAsia="黑体" w:hAnsi="Arial"/>
        </w:rPr>
        <w:t xml:space="preserve">五、样本量与统计效能</w:t>
      </w:r>
    </w:p>
    <w:p>
      <w:pPr>
        <w:spacing w:after="120" w:line="360" w:lineRule="auto"/>
        <w:ind w:firstLine="420"/>
        <w:jc w:val="both"/>
      </w:pPr>
      <w:r>
        <w:rPr>
          <w:rFonts w:ascii="Times New Roman" w:eastAsia="宋体" w:hAnsi="Times New Roman"/>
        </w:rPr>
        <w:t xml:space="preserve">写标书时这一节最容易被“估计”糊过去，也最容易被评审挑出来。三部分分别计算，并注明依据。</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1714"/>
        <w:gridCol w:w="3068"/>
        <w:gridCol w:w="2075"/>
        <w:gridCol w:w="2169"/>
      </w:tblGrid>
      <w:tr>
        <w:trPr>
          <w:tblHeader/>
        </w:trPr>
        <w:tc>
          <w:tcPr>
            <w:tcW w:type="dxa" w:w="1714"/>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研究内容</w:t>
            </w:r>
          </w:p>
        </w:tc>
        <w:tc>
          <w:tcPr>
            <w:tcW w:type="dxa" w:w="3068"/>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依据</w:t>
            </w:r>
          </w:p>
        </w:tc>
        <w:tc>
          <w:tcPr>
            <w:tcW w:type="dxa" w:w="207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参数</w:t>
            </w:r>
          </w:p>
        </w:tc>
        <w:tc>
          <w:tcPr>
            <w:tcW w:type="dxa" w:w="2169"/>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所需样本</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内容一 · 预测建模</w:t>
            </w:r>
          </w:p>
        </w:tc>
        <w:tc>
          <w:tcPr>
            <w:tcW w:type="dxa" w:w="306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每变量事件数 EPV ≥ 10，并用 Riley 等预测模型最小样本量法复核</w:t>
            </w:r>
          </w:p>
        </w:tc>
        <w:tc>
          <w:tcPr>
            <w:tcW w:type="dxa" w:w="20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12 个候选变量；HAEC 累积发生率 28%</w:t>
            </w:r>
          </w:p>
        </w:tc>
        <w:tc>
          <w:tcPr>
            <w:tcW w:type="dxa" w:w="216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 120 事件；n ≈ 430</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内容一 · 外部验证</w:t>
            </w:r>
          </w:p>
        </w:tc>
        <w:tc>
          <w:tcPr>
            <w:tcW w:type="dxa" w:w="306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验证集事件数 ≥ 100 为宜，本课题受周期限制取时间外部验证</w:t>
            </w:r>
          </w:p>
        </w:tc>
        <w:tc>
          <w:tcPr>
            <w:tcW w:type="dxa" w:w="20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同上发生率</w:t>
            </w:r>
          </w:p>
        </w:tc>
        <w:tc>
          <w:tcPr>
            <w:tcW w:type="dxa" w:w="216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n ≈ 120</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内容二 · 菌群差异</w:t>
            </w:r>
          </w:p>
        </w:tc>
        <w:tc>
          <w:tcPr>
            <w:tcW w:type="dxa" w:w="306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两独立样本 t 检验，以既往报道 Shannon 指数组间效应量估算</w:t>
            </w:r>
          </w:p>
        </w:tc>
        <w:tc>
          <w:tcPr>
            <w:tcW w:type="dxa" w:w="20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Cohen's d ≈ 0.6；α = 0.05，power = 0.80</w:t>
            </w:r>
          </w:p>
        </w:tc>
        <w:tc>
          <w:tcPr>
            <w:tcW w:type="dxa" w:w="216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每组 45 例；计 120 例（含 20% 脱落与分层）</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内容三 · 动物实验</w:t>
            </w:r>
          </w:p>
        </w:tc>
        <w:tc>
          <w:tcPr>
            <w:tcW w:type="dxa" w:w="306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方差分析，以肠炎组织学评分差异估算</w:t>
            </w:r>
          </w:p>
        </w:tc>
        <w:tc>
          <w:tcPr>
            <w:tcW w:type="dxa" w:w="20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d ≈ 1.4；power &gt; 0.80</w:t>
            </w:r>
          </w:p>
        </w:tc>
        <w:tc>
          <w:tcPr>
            <w:tcW w:type="dxa" w:w="216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每组 8–10 只，共 6 组</w:t>
            </w:r>
          </w:p>
        </w:tc>
      </w:tr>
    </w:tbl>
    <w:p>
      <w:pPr>
        <w:spacing w:after="160"/>
      </w:pPr>
    </w:p>
    <w:p>
      <w:pPr>
        <w:spacing w:after="120" w:line="360" w:lineRule="auto"/>
        <w:ind w:firstLine="420"/>
        <w:jc w:val="both"/>
      </w:pPr>
      <w:r>
        <w:rPr>
          <w:rFonts w:ascii="Times New Roman" w:eastAsia="宋体" w:hAnsi="Times New Roman"/>
        </w:rPr>
        <w:t xml:space="preserve">注意一个现实问题：</w:t>
      </w:r>
      <w:r>
        <w:rPr>
          <w:rFonts w:ascii="Times New Roman" w:eastAsia="宋体" w:hAnsi="Times New Roman"/>
          <w:b/>
          <w:bCs/>
        </w:rPr>
        <w:t xml:space="preserve">n ≈ 430 对单中心是有挑战的</w:t>
      </w:r>
      <w:r>
        <w:rPr>
          <w:rFonts w:ascii="Times New Roman" w:eastAsia="宋体" w:hAnsi="Times New Roman"/>
        </w:rPr>
        <w:t xml:space="preserve">。按年手术量 40–60 例计算，回顾 8–10 年病例可以覆盖，但资料完整度会随年份递减。务必先做 20 例预提取试算缺失率，若关键变量缺失超过 20%，就要缩短回顾年限并同时启动 2–3 家协作单位。</w:t>
      </w:r>
    </w:p>
    <w:p>
      <w:pPr>
        <w:pStyle w:val="Heading1"/>
        <w:spacing w:after="160" w:before="360"/>
      </w:pPr>
      <w:r>
        <w:rPr>
          <w:rFonts w:ascii="Arial" w:eastAsia="黑体" w:hAnsi="Arial"/>
        </w:rPr>
        <w:t xml:space="preserve">六、36 个月进度安排</w:t>
      </w:r>
    </w:p>
    <w:p>
      <w:pPr>
        <w:spacing w:after="120" w:line="360" w:lineRule="auto"/>
        <w:ind w:firstLine="420"/>
        <w:jc w:val="both"/>
      </w:pPr>
      <w:r>
        <w:rPr>
          <w:rFonts w:ascii="Times New Roman" w:eastAsia="宋体" w:hAnsi="Times New Roman"/>
        </w:rPr>
        <w:t xml:space="preserve">排期的原则是</w:t>
      </w:r>
      <w:r>
        <w:rPr>
          <w:rFonts w:ascii="Times New Roman" w:eastAsia="宋体" w:hAnsi="Times New Roman"/>
          <w:b/>
          <w:bCs/>
        </w:rPr>
        <w:t xml:space="preserve">让回顾队列先出第一篇</w:t>
      </w:r>
      <w:r>
        <w:rPr>
          <w:rFonts w:ascii="Times New Roman" w:eastAsia="宋体" w:hAnsi="Times New Roman"/>
        </w:rPr>
        <w:t xml:space="preserve">：第 12 个月前投出临床模型论文，既给中期检查交差，也为后续组学与动物实验争取时间。前瞻入组横跨 27 个月，是整个课题的关键路径。</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1444"/>
        <w:gridCol w:w="1173"/>
        <w:gridCol w:w="6409"/>
      </w:tblGrid>
      <w:tr>
        <w:trPr>
          <w:tblHeader/>
        </w:trPr>
        <w:tc>
          <w:tcPr>
            <w:tcW w:type="dxa" w:w="1444"/>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阶段</w:t>
            </w:r>
          </w:p>
        </w:tc>
        <w:tc>
          <w:tcPr>
            <w:tcW w:type="dxa" w:w="1173"/>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时间</w:t>
            </w:r>
          </w:p>
        </w:tc>
        <w:tc>
          <w:tcPr>
            <w:tcW w:type="dxa" w:w="6409"/>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工作内容</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筹备与合规</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M1–M3</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伦理审批；CRF 与数据库搭建；生物样本 SOP；ChiCTR 注册</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M1–M9</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回顾队列病例提取与数据质控</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前瞻入组（关键路径）</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M4–M30</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前瞻队列入组与术前、术后 1 周、1 月、3 月、6 月时序采样随访</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内容一</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M7–M12</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临床预测模型建模与内部验证</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组学检测</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M10–M24</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16S rRNA、宏基因组、短链脂肪酸与代谢组检测及分析</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病理检测</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M16–M25</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免疫组化、qPCR、黏膜单细胞测序</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内容三</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M13–M30</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动物模型、粪菌移植、丁酸干预与通路拮抗</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模型融合</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M25–M33</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组学标志物并入模型并作时间外部验证</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论文一</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M10–M13</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临床预测模型投稿</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论文二、三</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M27–M33</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组学融合模型与机制研究投稿</w:t>
            </w:r>
          </w:p>
        </w:tc>
      </w:tr>
      <w:tr>
        <w:tc>
          <w:tcPr>
            <w:tcW w:type="dxa" w:w="144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结题</w:t>
            </w:r>
          </w:p>
        </w:tc>
        <w:tc>
          <w:tcPr>
            <w:tcW w:type="dxa" w:w="1173"/>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M31–M36</w:t>
            </w:r>
          </w:p>
        </w:tc>
        <w:tc>
          <w:tcPr>
            <w:tcW w:type="dxa" w:w="640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软著与专利申请；结题；下一轮 RCT 方案撰写</w:t>
            </w:r>
          </w:p>
        </w:tc>
      </w:tr>
    </w:tbl>
    <w:p>
      <w:pPr>
        <w:pStyle w:val="Heading1"/>
        <w:spacing w:after="160" w:before="360"/>
      </w:pPr>
      <w:r>
        <w:rPr>
          <w:rFonts w:ascii="Arial" w:eastAsia="黑体" w:hAnsi="Arial"/>
        </w:rPr>
        <w:t xml:space="preserve">七、经费预算</w:t>
      </w:r>
    </w:p>
    <w:p>
      <w:pPr>
        <w:spacing w:after="120" w:line="360" w:lineRule="auto"/>
        <w:ind w:firstLine="420"/>
        <w:jc w:val="both"/>
      </w:pPr>
      <w:r>
        <w:rPr>
          <w:rFonts w:ascii="Times New Roman" w:eastAsia="宋体" w:hAnsi="Times New Roman"/>
        </w:rPr>
        <w:t xml:space="preserve">按直接费用 55 万元编制，对应国自然面上或省市级重点的常见额度。若申报青年基金（约 30 万元），压缩方式是：宏基因组由 50 例减至 20 例、取消单细胞测序、动物实验改为与合作实验室共担。</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1805"/>
        <w:gridCol w:w="5505"/>
        <w:gridCol w:w="1716"/>
      </w:tblGrid>
      <w:tr>
        <w:trPr>
          <w:tblHeader/>
        </w:trPr>
        <w:tc>
          <w:tcPr>
            <w:tcW w:type="dxa" w:w="180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科目</w:t>
            </w:r>
          </w:p>
        </w:tc>
        <w:tc>
          <w:tcPr>
            <w:tcW w:type="dxa" w:w="550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主要内容与用量</w:t>
            </w:r>
          </w:p>
        </w:tc>
        <w:tc>
          <w:tcPr>
            <w:tcW w:type="dxa" w:w="1716"/>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金额（万元）</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测序与组学检测</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16S rRNA 约 480 样本；宏基因组 50 例；靶向短链脂肪酸与非靶向代谢组 480 样本</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22.0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动物实验</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品系引进与繁育；无菌 / SPF 饲养；流式抗体；粪菌移植耗材</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13.0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病理与免疫检测</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免疫组化与 qPCR；粪钙卫蛋白与 sIgA；黏膜单细胞测序 10 例</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7.0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论文与知识产权</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版面费 2–3 篇；语言润色；软著与专利申请</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4.0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随访与样本管理</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采样盒与冷链；家庭随访交通补助；样本库耗材与冻存管</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3.0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数据处理劳务</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生物信息分析；统计支持；风险计算器开发</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3.0</w:t>
            </w:r>
          </w:p>
        </w:tc>
      </w:tr>
      <w:tr>
        <w:tc>
          <w:tcPr>
            <w:tcW w:type="dxa" w:w="18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学术交流</w:t>
            </w:r>
          </w:p>
        </w:tc>
        <w:tc>
          <w:tcPr>
            <w:tcW w:type="dxa" w:w="550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国内外小儿外科年会；协作单位启动会</w:t>
            </w:r>
          </w:p>
        </w:tc>
        <w:tc>
          <w:tcPr>
            <w:tcW w:type="dxa" w:w="1716"/>
            <w:tcMar>
              <w:top w:type="dxa" w:w="80"/>
              <w:left w:type="dxa" w:w="110"/>
              <w:bottom w:type="dxa" w:w="80"/>
              <w:right w:type="dxa" w:w="110"/>
            </w:tcMar>
            <w:vAlign w:val="top"/>
          </w:tcPr>
          <w:p>
            <w:pPr>
              <w:spacing w:after="20" w:before="20" w:line="280" w:lineRule="auto"/>
              <w:jc w:val="right"/>
            </w:pPr>
            <w:r>
              <w:rPr>
                <w:rFonts w:ascii="Times New Roman" w:eastAsia="宋体" w:hAnsi="Times New Roman"/>
                <w:b w:val="false"/>
                <w:bCs w:val="false"/>
                <w:sz w:val="18"/>
                <w:szCs w:val="18"/>
              </w:rPr>
              <w:t xml:space="preserve">3.0</w:t>
            </w:r>
          </w:p>
        </w:tc>
      </w:tr>
      <w:tr>
        <w:tc>
          <w:tcPr>
            <w:tcW w:type="dxa" w:w="180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合计</w:t>
            </w:r>
          </w:p>
        </w:tc>
        <w:tc>
          <w:tcPr>
            <w:tcW w:type="dxa" w:w="550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直接费用</w:t>
            </w:r>
          </w:p>
        </w:tc>
        <w:tc>
          <w:tcPr>
            <w:tcW w:type="dxa" w:w="1716"/>
            <w:shd w:fill="E8E8EF" w:color="auto" w:val="clear"/>
            <w:tcMar>
              <w:top w:type="dxa" w:w="80"/>
              <w:left w:type="dxa" w:w="110"/>
              <w:bottom w:type="dxa" w:w="80"/>
              <w:right w:type="dxa" w:w="110"/>
            </w:tcMar>
            <w:vAlign w:val="top"/>
          </w:tcPr>
          <w:p>
            <w:pPr>
              <w:spacing w:after="20" w:before="20" w:line="280" w:lineRule="auto"/>
              <w:jc w:val="right"/>
            </w:pPr>
            <w:r>
              <w:rPr>
                <w:rFonts w:ascii="Times New Roman" w:eastAsia="宋体" w:hAnsi="Times New Roman"/>
                <w:b/>
                <w:bCs/>
                <w:sz w:val="18"/>
                <w:szCs w:val="18"/>
              </w:rPr>
              <w:t xml:space="preserve">55.0</w:t>
            </w:r>
          </w:p>
        </w:tc>
      </w:tr>
    </w:tbl>
    <w:p>
      <w:pPr>
        <w:pStyle w:val="Heading1"/>
        <w:spacing w:after="160" w:before="360"/>
      </w:pPr>
      <w:r>
        <w:rPr>
          <w:rFonts w:ascii="Arial" w:eastAsia="黑体" w:hAnsi="Arial"/>
        </w:rPr>
        <w:t xml:space="preserve">八、可行性、风险与对策</w:t>
      </w:r>
    </w:p>
    <w:p>
      <w:pPr>
        <w:spacing w:after="120" w:line="360" w:lineRule="auto"/>
        <w:ind w:firstLine="420"/>
        <w:jc w:val="both"/>
      </w:pPr>
      <w:r>
        <w:rPr>
          <w:rFonts w:ascii="Times New Roman" w:eastAsia="宋体" w:hAnsi="Times New Roman"/>
        </w:rPr>
        <w:t xml:space="preserve">标书里“可行性分析”最忌讳只写优势。把真实风险列出来并给出具体对策，反而是加分项。</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2527"/>
        <w:gridCol w:w="992"/>
        <w:gridCol w:w="5507"/>
      </w:tblGrid>
      <w:tr>
        <w:trPr>
          <w:tblHeader/>
        </w:trPr>
        <w:tc>
          <w:tcPr>
            <w:tcW w:type="dxa" w:w="252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风险</w:t>
            </w:r>
          </w:p>
        </w:tc>
        <w:tc>
          <w:tcPr>
            <w:tcW w:type="dxa" w:w="992"/>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可能性</w:t>
            </w:r>
          </w:p>
        </w:tc>
        <w:tc>
          <w:tcPr>
            <w:tcW w:type="dxa" w:w="550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对策</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前瞻入组不足，无法在 27 个月内凑齐 120 例</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高</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立项前即与 2–3 家协作单位签署协议并统一 SOP；同步放宽纳入至同期其他结肠手术作对照组；每季度核对入组曲线，落后 20% 即启动协作中心</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HAEC 诊断异质性导致终点不可靠</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高</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统一使用 Delphi 共识评分，双人独立盲评并报告 κ 值；设立三人终点判定委员会裁定分歧病例；所有影像由固定放射科医师复核</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回顾资料关键变量缺失率过高</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先做 20 例预提取探底；缺失 &lt; 20% 用多重插补并做敏感性分析；超过则缩短回顾年限、减少候选变量</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无菌鼠平台缺失，粪菌移植无法开展</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改用抗生素预处理常规小鼠加隔离器饲养（已有成熟方案）；或与高校、国家级动物平台签订合作，把该部分外包</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组学数据分析能力不足，结果止于差异菌柱状图</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测序合同中写明中介分析与网络分析条款；团队内指定 1 人掌握 QIIME2 与 R 基础，保证能独立复现，不被公司报告牵着走</w:t>
            </w:r>
          </w:p>
        </w:tc>
      </w:tr>
      <w:tr>
        <w:tc>
          <w:tcPr>
            <w:tcW w:type="dxa" w:w="252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家长依从性差，时序粪便样本脱落</w:t>
            </w:r>
          </w:p>
        </w:tc>
        <w:tc>
          <w:tcPr>
            <w:tcW w:type="dxa" w:w="992"/>
            <w:tcMar>
              <w:top w:type="dxa" w:w="80"/>
              <w:left w:type="dxa" w:w="110"/>
              <w:bottom w:type="dxa" w:w="80"/>
              <w:right w:type="dxa" w:w="110"/>
            </w:tcMar>
            <w:vAlign w:val="top"/>
          </w:tcPr>
          <w:p>
            <w:pPr>
              <w:spacing w:after="20" w:before="20" w:line="280" w:lineRule="auto"/>
              <w:jc w:val="center"/>
            </w:pPr>
            <w:r>
              <w:rPr>
                <w:rFonts w:ascii="Times New Roman" w:eastAsia="宋体" w:hAnsi="Times New Roman"/>
                <w:b w:val="false"/>
                <w:bCs w:val="false"/>
                <w:sz w:val="18"/>
                <w:szCs w:val="18"/>
              </w:rPr>
              <w:t xml:space="preserve">中</w:t>
            </w:r>
          </w:p>
        </w:tc>
        <w:tc>
          <w:tcPr>
            <w:tcW w:type="dxa" w:w="550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发放标准采样盒并教学；随访日发放交通补助；建立随访微信群与提前 3 天提醒；远地患儿安排冷链上门取样</w:t>
            </w:r>
          </w:p>
        </w:tc>
      </w:tr>
    </w:tbl>
    <w:p>
      <w:pPr>
        <w:spacing w:after="160"/>
      </w:pPr>
    </w:p>
    <w:p>
      <w:pPr>
        <w:pStyle w:val="Heading2"/>
        <w:spacing w:after="120" w:before="240"/>
      </w:pPr>
      <w:r>
        <w:rPr>
          <w:rFonts w:ascii="Arial" w:eastAsia="黑体" w:hAnsi="Arial"/>
        </w:rPr>
        <w:t xml:space="preserve">伦理与合规</w:t>
      </w:r>
    </w:p>
    <w:p>
      <w:pPr>
        <w:spacing w:after="120" w:line="360" w:lineRule="auto"/>
        <w:ind w:firstLine="420"/>
        <w:jc w:val="both"/>
      </w:pPr>
      <w:r>
        <w:rPr>
          <w:rFonts w:ascii="Times New Roman" w:eastAsia="宋体" w:hAnsi="Times New Roman"/>
        </w:rPr>
        <w:t xml:space="preserve">医院伦理委员会批准并取得监护人书面知情同意，同意书需单列</w:t>
      </w:r>
      <w:r>
        <w:rPr>
          <w:rFonts w:ascii="Times New Roman" w:eastAsia="宋体" w:hAnsi="Times New Roman"/>
          <w:b/>
          <w:bCs/>
        </w:rPr>
        <w:t xml:space="preserve">生物样本二次利用与数据共享条款</w:t>
      </w:r>
      <w:r>
        <w:rPr>
          <w:rFonts w:ascii="Times New Roman" w:eastAsia="宋体" w:hAnsi="Times New Roman"/>
        </w:rPr>
        <w:t xml:space="preserve">；在 ChiCTR 注册（观察性研究亦建议注册）；报告规范上，队列研究遵循 STROBE、预测模型遵循 TRIPOD、动物实验遵循 ARRIVE、后续随机对照试验遵循 CONSORT；数据去标识化后专机存储并保留访问日志。</w:t>
      </w:r>
    </w:p>
    <w:p>
      <w:pPr>
        <w:pStyle w:val="Heading1"/>
        <w:spacing w:after="160" w:before="360"/>
      </w:pPr>
      <w:r>
        <w:rPr>
          <w:rFonts w:ascii="Arial" w:eastAsia="黑体" w:hAnsi="Arial"/>
        </w:rPr>
        <w:t xml:space="preserve">九、备选方案：12–18 个月见成果的低成本路线</w:t>
      </w:r>
    </w:p>
    <w:p>
      <w:pPr>
        <w:spacing w:after="120" w:line="360" w:lineRule="auto"/>
        <w:ind w:firstLine="420"/>
        <w:jc w:val="both"/>
      </w:pPr>
      <w:r>
        <w:rPr>
          <w:rFonts w:ascii="Times New Roman" w:eastAsia="宋体" w:hAnsi="Times New Roman"/>
        </w:rPr>
        <w:t xml:space="preserve">如果眼下平台或经费还不到位，建议先跑这个方案。它几乎只消耗人力，并且</w:t>
      </w:r>
      <w:r>
        <w:rPr>
          <w:rFonts w:ascii="Times New Roman" w:eastAsia="宋体" w:hAnsi="Times New Roman"/>
          <w:b/>
          <w:bCs/>
        </w:rPr>
        <w:t xml:space="preserve">建立的随访体系可以直接被主攻方案复用</w:t>
      </w:r>
      <w:r>
        <w:rPr>
          <w:rFonts w:ascii="Times New Roman" w:eastAsia="宋体" w:hAnsi="Times New Roman"/>
        </w:rPr>
        <w:t xml:space="preserve">——两者共用一套随访队列，不是白做。</w:t>
      </w:r>
    </w:p>
    <w:p>
      <w:pPr>
        <w:pBdr>
          <w:top w:val="single" w:color="8F5524" w:sz="12"/>
        </w:pBdr>
        <w:spacing w:after="140" w:before="160"/>
      </w:pPr>
      <w:r>
        <w:rPr>
          <w:rFonts w:ascii="Arial" w:eastAsia="黑体" w:hAnsi="Arial"/>
          <w:b/>
          <w:bCs/>
          <w:sz w:val="24"/>
          <w:szCs w:val="24"/>
        </w:rPr>
        <w:t xml:space="preserve">肛门直肠畸形与先天性巨结肠术后远期排便功能及生活质量的真实世界队列研究</w:t>
      </w:r>
    </w:p>
    <w:p>
      <w:pPr>
        <w:spacing w:after="100" w:line="340" w:lineRule="auto"/>
        <w:ind w:left="640" w:hanging="640"/>
        <w:jc w:val="both"/>
      </w:pPr>
      <w:r>
        <w:rPr>
          <w:rFonts w:ascii="Times New Roman" w:eastAsia="宋体" w:hAnsi="Times New Roman"/>
          <w:b/>
          <w:bCs/>
        </w:rPr>
        <w:t xml:space="preserve">设计　</w:t>
      </w:r>
      <w:r>
        <w:rPr>
          <w:rFonts w:ascii="Times New Roman" w:eastAsia="宋体" w:hAnsi="Times New Roman"/>
        </w:rPr>
        <w:t xml:space="preserve">回顾性队列 + 横断面随访问卷。以近 10 年手术且目前年龄 ≥ 4 岁的患儿为对象。</w:t>
      </w:r>
    </w:p>
    <w:p>
      <w:pPr>
        <w:spacing w:after="100" w:line="340" w:lineRule="auto"/>
        <w:ind w:left="640" w:hanging="640"/>
        <w:jc w:val="both"/>
      </w:pPr>
      <w:r>
        <w:rPr>
          <w:rFonts w:ascii="Times New Roman" w:eastAsia="宋体" w:hAnsi="Times New Roman"/>
          <w:b/>
          <w:bCs/>
        </w:rPr>
        <w:t xml:space="preserve">样本　</w:t>
      </w:r>
      <w:r>
        <w:rPr>
          <w:rFonts w:ascii="Times New Roman" w:eastAsia="宋体" w:hAnsi="Times New Roman"/>
        </w:rPr>
        <w:t xml:space="preserve">目标 </w:t>
      </w:r>
      <w:r>
        <w:rPr>
          <w:rFonts w:ascii="Times New Roman" w:eastAsia="宋体" w:hAnsi="Times New Roman"/>
          <w:b/>
          <w:bCs/>
        </w:rPr>
        <w:t xml:space="preserve">n ≈ 200–300</w:t>
      </w:r>
      <w:r>
        <w:rPr>
          <w:rFonts w:ascii="Times New Roman" w:eastAsia="宋体" w:hAnsi="Times New Roman"/>
        </w:rPr>
        <w:t xml:space="preserve">，电话或门诊随访完成量表。</w:t>
      </w:r>
    </w:p>
    <w:p>
      <w:pPr>
        <w:spacing w:after="100" w:line="340" w:lineRule="auto"/>
        <w:ind w:left="640" w:hanging="640"/>
        <w:jc w:val="both"/>
      </w:pPr>
      <w:r>
        <w:rPr>
          <w:rFonts w:ascii="Times New Roman" w:eastAsia="宋体" w:hAnsi="Times New Roman"/>
          <w:b/>
          <w:bCs/>
        </w:rPr>
        <w:t xml:space="preserve">结局　</w:t>
      </w:r>
      <w:r>
        <w:rPr>
          <w:rFonts w:ascii="Times New Roman" w:eastAsia="宋体" w:hAnsi="Times New Roman"/>
          <w:b/>
          <w:bCs/>
        </w:rPr>
        <w:t xml:space="preserve">Rintala 排便功能评分</w:t>
      </w:r>
      <w:r>
        <w:rPr>
          <w:rFonts w:ascii="Times New Roman" w:eastAsia="宋体" w:hAnsi="Times New Roman"/>
        </w:rPr>
        <w:t xml:space="preserve">、Krickenbeck 分类、PedsQL 4.0 生活质量量表、Baylor 失禁量表；均为公认工具，无需自制问卷。</w:t>
      </w:r>
    </w:p>
    <w:p>
      <w:pPr>
        <w:spacing w:after="100" w:line="340" w:lineRule="auto"/>
        <w:ind w:left="640" w:hanging="640"/>
        <w:jc w:val="both"/>
      </w:pPr>
      <w:r>
        <w:rPr>
          <w:rFonts w:ascii="Times New Roman" w:eastAsia="宋体" w:hAnsi="Times New Roman"/>
          <w:b/>
          <w:bCs/>
        </w:rPr>
        <w:t xml:space="preserve">暴露　</w:t>
      </w:r>
      <w:r>
        <w:rPr>
          <w:rFonts w:ascii="Times New Roman" w:eastAsia="宋体" w:hAnsi="Times New Roman"/>
        </w:rPr>
        <w:t xml:space="preserve">术式、病变类型与长度、手术月龄、并发症、骶骨比值，以及</w:t>
      </w:r>
      <w:r>
        <w:rPr>
          <w:rFonts w:ascii="Times New Roman" w:eastAsia="宋体" w:hAnsi="Times New Roman"/>
          <w:b/>
          <w:bCs/>
        </w:rPr>
        <w:t xml:space="preserve">是否进入规范化肠管理</w:t>
      </w:r>
      <w:r>
        <w:rPr>
          <w:rFonts w:ascii="Times New Roman" w:eastAsia="宋体" w:hAnsi="Times New Roman"/>
        </w:rPr>
        <w:t xml:space="preserve">（这是本研究真正想回答的可改变因素）。</w:t>
      </w:r>
    </w:p>
    <w:p>
      <w:pPr>
        <w:spacing w:after="100" w:line="340" w:lineRule="auto"/>
        <w:ind w:left="640" w:hanging="640"/>
        <w:jc w:val="both"/>
      </w:pPr>
      <w:r>
        <w:rPr>
          <w:rFonts w:ascii="Times New Roman" w:eastAsia="宋体" w:hAnsi="Times New Roman"/>
          <w:b/>
          <w:bCs/>
        </w:rPr>
        <w:t xml:space="preserve">分析　</w:t>
      </w:r>
      <w:r>
        <w:rPr>
          <w:rFonts w:ascii="Times New Roman" w:eastAsia="宋体" w:hAnsi="Times New Roman"/>
        </w:rPr>
        <w:t xml:space="preserve">多因素回归识别可改变的预后因素；按是否接受规范化肠管理做亚组比较与倾向性评分匹配。</w:t>
      </w:r>
    </w:p>
    <w:p>
      <w:pPr>
        <w:spacing w:after="100" w:line="340" w:lineRule="auto"/>
        <w:ind w:left="640" w:hanging="640"/>
        <w:jc w:val="both"/>
      </w:pPr>
      <w:r>
        <w:rPr>
          <w:rFonts w:ascii="Times New Roman" w:eastAsia="宋体" w:hAnsi="Times New Roman"/>
          <w:b/>
          <w:bCs/>
        </w:rPr>
        <w:t xml:space="preserve">成本　</w:t>
      </w:r>
      <w:r>
        <w:rPr>
          <w:rFonts w:ascii="Times New Roman" w:eastAsia="宋体" w:hAnsi="Times New Roman"/>
        </w:rPr>
        <w:t xml:space="preserve">约 </w:t>
      </w:r>
      <w:r>
        <w:rPr>
          <w:rFonts w:ascii="Times New Roman" w:eastAsia="宋体" w:hAnsi="Times New Roman"/>
          <w:b/>
          <w:bCs/>
        </w:rPr>
        <w:t xml:space="preserve">3–5 万元</w:t>
      </w:r>
      <w:r>
        <w:rPr>
          <w:rFonts w:ascii="Times New Roman" w:eastAsia="宋体" w:hAnsi="Times New Roman"/>
        </w:rPr>
        <w:t xml:space="preserve">，主要为随访补助与人力。</w:t>
      </w:r>
    </w:p>
    <w:p>
      <w:pPr>
        <w:spacing w:after="100" w:line="340" w:lineRule="auto"/>
        <w:ind w:left="640" w:hanging="640"/>
        <w:jc w:val="both"/>
      </w:pPr>
      <w:r>
        <w:rPr>
          <w:rFonts w:ascii="Times New Roman" w:eastAsia="宋体" w:hAnsi="Times New Roman"/>
          <w:b/>
          <w:bCs/>
        </w:rPr>
        <w:t xml:space="preserve">产出　</w:t>
      </w:r>
      <w:r>
        <w:rPr>
          <w:rFonts w:ascii="Times New Roman" w:eastAsia="宋体" w:hAnsi="Times New Roman"/>
        </w:rPr>
        <w:t xml:space="preserve">1–2 篇论著 + 本院术后随访路径与肠管理方案，可直接转化为科室质控指标。</w:t>
      </w:r>
    </w:p>
    <w:p>
      <w:pPr>
        <w:pStyle w:val="Heading1"/>
        <w:spacing w:after="160" w:before="360"/>
      </w:pPr>
      <w:r>
        <w:rPr>
          <w:rFonts w:ascii="Arial" w:eastAsia="黑体" w:hAnsi="Arial"/>
        </w:rPr>
        <w:t xml:space="preserve">十、申报窗口与冲刺日历</w:t>
      </w:r>
    </w:p>
    <w:tbl>
      <w:tblPr>
        <w:tblW w:type="dxa" w:w="9026"/>
        <w:tblBorders>
          <w:top w:val="single" w:color="9C382F" w:sz="4"/>
          <w:left w:val="single" w:color="9C382F" w:sz="18"/>
          <w:bottom w:val="single" w:color="9C382F" w:sz="4"/>
          <w:right w:val="single" w:color="9C382F" w:sz="4"/>
          <w:insideH w:val="none" w:color="auto" w:sz="0"/>
          <w:insideV w:val="none" w:color="auto" w:sz="0"/>
        </w:tblBorders>
      </w:tblPr>
      <w:tblGrid>
        <w:gridCol w:w="9026"/>
      </w:tblGrid>
      <w:tr>
        <w:tc>
          <w:tcPr>
            <w:tcW w:type="dxa" w:w="9026"/>
            <w:shd w:fill="F7EAE8" w:color="auto" w:val="clear"/>
            <w:tcMar>
              <w:top w:type="dxa" w:w="140"/>
              <w:left w:type="dxa" w:w="220"/>
              <w:bottom w:type="dxa" w:w="140"/>
              <w:right w:type="dxa" w:w="220"/>
            </w:tcMar>
          </w:tcPr>
          <w:p>
            <w:pPr>
              <w:spacing w:after="0" w:before="0" w:line="340" w:lineRule="auto"/>
              <w:jc w:val="both"/>
            </w:pPr>
            <w:r>
              <w:rPr>
                <w:rFonts w:ascii="Times New Roman" w:eastAsia="宋体" w:hAnsi="Times New Roman"/>
                <w:b/>
                <w:bCs/>
              </w:rPr>
              <w:t xml:space="preserve">核对状态｜信息截至 2026 年 9 月 12 日</w:t>
            </w:r>
          </w:p>
          <w:p>
            <w:pPr>
              <w:spacing w:after="0" w:before="60" w:line="340" w:lineRule="auto"/>
              <w:jc w:val="both"/>
            </w:pPr>
            <w:r>
              <w:rPr>
                <w:rFonts w:ascii="Times New Roman" w:eastAsia="宋体" w:hAnsi="Times New Roman"/>
              </w:rPr>
              <w:t xml:space="preserve">下表日期来自公开渠道检索，</w:t>
            </w:r>
            <w:r>
              <w:rPr>
                <w:rFonts w:ascii="Times New Roman" w:eastAsia="宋体" w:hAnsi="Times New Roman"/>
                <w:b/>
                <w:bCs/>
              </w:rPr>
              <w:t xml:space="preserve">未逐条打开官网原文核对</w:t>
            </w:r>
            <w:r>
              <w:rPr>
                <w:rFonts w:ascii="Times New Roman" w:eastAsia="宋体" w:hAnsi="Times New Roman"/>
              </w:rPr>
              <w:t xml:space="preserve">。省级通知常有单位内部提前截止、名额限制与“申报数量达标即关闭”等附加规则，且各省节奏差异极大——海南在 2026 年 3 月就受理 2027 年度，湖北要等到 10 月。</w:t>
            </w:r>
            <w:r>
              <w:rPr>
                <w:rFonts w:ascii="Times New Roman" w:eastAsia="宋体" w:hAnsi="Times New Roman"/>
                <w:b/>
                <w:bCs/>
              </w:rPr>
              <w:t xml:space="preserve">任何一条在行动前都请以本院科研处、科教科的正式通知为准</w:t>
            </w:r>
            <w:r>
              <w:rPr>
                <w:rFonts w:ascii="Times New Roman" w:eastAsia="宋体" w:hAnsi="Times New Roman"/>
              </w:rPr>
              <w:t xml:space="preserve">，尤其是已进入倒计时的河南窗口。</w:t>
            </w:r>
          </w:p>
        </w:tc>
      </w:tr>
    </w:tbl>
    <w:p>
      <w:pPr>
        <w:spacing w:after="160"/>
      </w:pPr>
    </w:p>
    <w:p>
      <w:pPr>
        <w:spacing w:after="160"/>
      </w:pPr>
    </w:p>
    <w:p>
      <w:pPr>
        <w:pStyle w:val="Heading2"/>
        <w:spacing w:after="120" w:before="240"/>
      </w:pPr>
      <w:r>
        <w:rPr>
          <w:rFonts w:ascii="Arial" w:eastAsia="黑体" w:hAnsi="Arial"/>
        </w:rPr>
        <w:t xml:space="preserve">华中 / 华南六省 · 2027 年度省级基金窗口</w:t>
      </w: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722"/>
        <w:gridCol w:w="2888"/>
        <w:gridCol w:w="2617"/>
        <w:gridCol w:w="2799"/>
      </w:tblGrid>
      <w:tr>
        <w:trPr>
          <w:tblHeader/>
        </w:trPr>
        <w:tc>
          <w:tcPr>
            <w:tcW w:type="dxa" w:w="722"/>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省</w:t>
            </w:r>
          </w:p>
        </w:tc>
        <w:tc>
          <w:tcPr>
            <w:tcW w:type="dxa" w:w="2888"/>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项目</w:t>
            </w:r>
          </w:p>
        </w:tc>
        <w:tc>
          <w:tcPr>
            <w:tcW w:type="dxa" w:w="261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窗口</w:t>
            </w:r>
          </w:p>
        </w:tc>
        <w:tc>
          <w:tcPr>
            <w:tcW w:type="dxa" w:w="2799"/>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状态</w:t>
            </w:r>
          </w:p>
        </w:tc>
      </w:tr>
      <w:tr>
        <w:tc>
          <w:tcPr>
            <w:tcW w:type="dxa" w:w="722"/>
            <w:shd w:fill="F5E6E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河南</w:t>
            </w:r>
          </w:p>
        </w:tc>
        <w:tc>
          <w:tcPr>
            <w:tcW w:type="dxa" w:w="2888"/>
            <w:shd w:fill="F5E6E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年度省科技攻关项目（年龄 ≤ 60 周岁；有省财政在研未结题项目不得申报）</w:t>
            </w:r>
          </w:p>
        </w:tc>
        <w:tc>
          <w:tcPr>
            <w:tcW w:type="dxa" w:w="2617"/>
            <w:shd w:fill="F5E6E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申报 2026-09-14 18:00；推荐单位 09-15 18:00</w:t>
            </w:r>
          </w:p>
        </w:tc>
        <w:tc>
          <w:tcPr>
            <w:tcW w:type="dxa" w:w="2799"/>
            <w:shd w:fill="F5E6E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倒计时 2 天</w:t>
            </w:r>
          </w:p>
        </w:tc>
      </w:tr>
      <w:tr>
        <w:tc>
          <w:tcPr>
            <w:tcW w:type="dxa" w:w="722"/>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湖北</w:t>
            </w:r>
          </w:p>
        </w:tc>
        <w:tc>
          <w:tcPr>
            <w:tcW w:type="dxa" w:w="288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年度省自然科学基金（设面上项目类别，适合高级职称申报）</w:t>
            </w:r>
          </w:p>
        </w:tc>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尚未发布。上一轮：2025-09-30 发通知，2025-10-30 12:00 截止</w:t>
            </w:r>
          </w:p>
        </w:tc>
        <w:tc>
          <w:tcPr>
            <w:tcW w:type="dxa" w:w="2799"/>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预计本月底开放</w:t>
            </w:r>
          </w:p>
        </w:tc>
      </w:tr>
      <w:tr>
        <w:tc>
          <w:tcPr>
            <w:tcW w:type="dxa" w:w="722"/>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广西</w:t>
            </w:r>
          </w:p>
        </w:tc>
        <w:tc>
          <w:tcPr>
            <w:tcW w:type="dxa" w:w="288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年广西科技计划项目（指南分多版发布，已见第 3 版）</w:t>
            </w:r>
          </w:p>
        </w:tc>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第一版 2026-08-15 18:00；推荐 08-19 18:00</w:t>
            </w:r>
          </w:p>
        </w:tc>
        <w:tc>
          <w:tcPr>
            <w:tcW w:type="dxa" w:w="279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仍可能有新批次</w:t>
            </w:r>
          </w:p>
        </w:tc>
      </w:tr>
      <w:tr>
        <w:tc>
          <w:tcPr>
            <w:tcW w:type="dxa" w:w="72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湖南</w:t>
            </w:r>
          </w:p>
        </w:tc>
        <w:tc>
          <w:tcPr>
            <w:tcW w:type="dxa" w:w="288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年度省自然科学基金</w:t>
            </w:r>
          </w:p>
        </w:tc>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填报 2026-09-10 16:00；推荐 09-16 16:00</w:t>
            </w:r>
          </w:p>
        </w:tc>
        <w:tc>
          <w:tcPr>
            <w:tcW w:type="dxa" w:w="279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已截止</w:t>
            </w:r>
          </w:p>
        </w:tc>
      </w:tr>
      <w:tr>
        <w:tc>
          <w:tcPr>
            <w:tcW w:type="dxa" w:w="72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广东</w:t>
            </w:r>
          </w:p>
        </w:tc>
        <w:tc>
          <w:tcPr>
            <w:tcW w:type="dxa" w:w="288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年度基础与应用基础研究基金（省自然科学基金）</w:t>
            </w:r>
          </w:p>
        </w:tc>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2026-05-15 起，06-10 截止</w:t>
            </w:r>
          </w:p>
        </w:tc>
        <w:tc>
          <w:tcPr>
            <w:tcW w:type="dxa" w:w="279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已截止</w:t>
            </w:r>
          </w:p>
        </w:tc>
      </w:tr>
      <w:tr>
        <w:tc>
          <w:tcPr>
            <w:tcW w:type="dxa" w:w="72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海南</w:t>
            </w:r>
          </w:p>
        </w:tc>
        <w:tc>
          <w:tcPr>
            <w:tcW w:type="dxa" w:w="2888"/>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年省自然科学基金（面上 8 万元，实施期 ≤ 3 年）</w:t>
            </w:r>
          </w:p>
        </w:tc>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2026-05-14 17:00</w:t>
            </w:r>
          </w:p>
        </w:tc>
        <w:tc>
          <w:tcPr>
            <w:tcW w:type="dxa" w:w="2799"/>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已截止</w:t>
            </w:r>
          </w:p>
        </w:tc>
      </w:tr>
    </w:tbl>
    <w:p>
      <w:pPr>
        <w:spacing w:after="160"/>
      </w:pPr>
    </w:p>
    <w:p>
      <w:pPr>
        <w:pStyle w:val="Heading2"/>
        <w:spacing w:after="120" w:before="240"/>
      </w:pPr>
      <w:r>
        <w:rPr>
          <w:rFonts w:ascii="Arial" w:eastAsia="黑体" w:hAnsi="Arial"/>
        </w:rPr>
        <w:t xml:space="preserve">国家级与社会基金</w:t>
      </w: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1714"/>
        <w:gridCol w:w="1714"/>
        <w:gridCol w:w="2256"/>
        <w:gridCol w:w="3342"/>
      </w:tblGrid>
      <w:tr>
        <w:trPr>
          <w:tblHeader/>
        </w:trPr>
        <w:tc>
          <w:tcPr>
            <w:tcW w:type="dxa" w:w="1714"/>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来源</w:t>
            </w:r>
          </w:p>
        </w:tc>
        <w:tc>
          <w:tcPr>
            <w:tcW w:type="dxa" w:w="1714"/>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项目</w:t>
            </w:r>
          </w:p>
        </w:tc>
        <w:tc>
          <w:tcPr>
            <w:tcW w:type="dxa" w:w="2256"/>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时间</w:t>
            </w:r>
          </w:p>
        </w:tc>
        <w:tc>
          <w:tcPr>
            <w:tcW w:type="dxa" w:w="3342"/>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与本方案的关系</w:t>
            </w:r>
          </w:p>
        </w:tc>
      </w:tr>
      <w:tr>
        <w:tc>
          <w:tcPr>
            <w:tcW w:type="dxa" w:w="1714"/>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国家自然科学基金委</w:t>
            </w:r>
          </w:p>
        </w:tc>
        <w:tc>
          <w:tcPr>
            <w:tcW w:type="dxa" w:w="1714"/>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2027 年度面上项目</w:t>
            </w:r>
          </w:p>
        </w:tc>
        <w:tc>
          <w:tcPr>
            <w:tcW w:type="dxa" w:w="2256"/>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指南约 2027-01 公布；集中接收约 2027-03-01 起，03-20 16:00 截止</w:t>
            </w:r>
          </w:p>
        </w:tc>
        <w:tc>
          <w:tcPr>
            <w:tcW w:type="dxa" w:w="3342"/>
            <w:shd w:fill="E4E7F4"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本方案的主目标。2026 年度为 3 月 1 日至 20 日；按规定年度指南须在接收起始日前 30 日公布，故 2027 年度节奏应大体相同</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科技部 / 国家卫健委</w:t>
            </w:r>
          </w:p>
        </w:tc>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国家重点研发计划、科技重大专项</w:t>
            </w:r>
          </w:p>
        </w:tc>
        <w:tc>
          <w:tcPr>
            <w:tcW w:type="dxa" w:w="225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年度指南征求意见已于 2026-05 / 06 完成</w:t>
            </w:r>
          </w:p>
        </w:tc>
        <w:tc>
          <w:tcPr>
            <w:tcW w:type="dxa" w:w="334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正式指南随后发布且窗口很短。小儿外科单中心体量适合作为参与单位，不宜牵头</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中国出生缺陷干预救助基金会</w:t>
            </w:r>
          </w:p>
        </w:tc>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专项研究项目</w:t>
            </w:r>
          </w:p>
        </w:tc>
        <w:tc>
          <w:tcPr>
            <w:tcW w:type="dxa" w:w="225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 批次 05-29 截止；8–10 项，每项 30–60 万元，≤ 3 年</w:t>
            </w:r>
          </w:p>
        </w:tc>
        <w:tc>
          <w:tcPr>
            <w:tcW w:type="dxa" w:w="334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与本专业最对口：先天性结构畸形范围涵盖 HSCR、肛门直肠畸形、胆道闭锁。明年指南一出即可报</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吴阶平医学基金会</w:t>
            </w:r>
          </w:p>
        </w:tc>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各科研专项（滚动发布）</w:t>
            </w:r>
          </w:p>
        </w:tc>
        <w:tc>
          <w:tcPr>
            <w:tcW w:type="dxa" w:w="225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 批次 07-31 截止，注明“申报数量达标提前关闭”</w:t>
            </w:r>
          </w:p>
        </w:tc>
        <w:tc>
          <w:tcPr>
            <w:tcW w:type="dxa" w:w="334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额度与方向随专项变化，需常年关注其科研专项栏目，宜早动手</w:t>
            </w:r>
          </w:p>
        </w:tc>
      </w:tr>
      <w:tr>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中国医学基金会</w:t>
            </w:r>
          </w:p>
        </w:tc>
        <w:tc>
          <w:tcPr>
            <w:tcW w:type="dxa" w:w="171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临床医学科研促进计划</w:t>
            </w:r>
          </w:p>
        </w:tc>
        <w:tc>
          <w:tcPr>
            <w:tcW w:type="dxa" w:w="2256"/>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 已截止；分批评审，第三批 07-08 公示</w:t>
            </w:r>
          </w:p>
        </w:tc>
        <w:tc>
          <w:tcPr>
            <w:tcW w:type="dxa" w:w="3342"/>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 批次通常年初启动，适合备选方案那类低成本临床课题</w:t>
            </w:r>
          </w:p>
        </w:tc>
      </w:tr>
    </w:tbl>
    <w:p>
      <w:pPr>
        <w:spacing w:after="160"/>
      </w:pPr>
    </w:p>
    <w:p>
      <w:pPr>
        <w:pStyle w:val="Heading2"/>
        <w:spacing w:after="120" w:before="240"/>
      </w:pPr>
      <w:r>
        <w:rPr>
          <w:rFonts w:ascii="Arial" w:eastAsia="黑体" w:hAnsi="Arial"/>
        </w:rPr>
        <w:t xml:space="preserve">冲刺国自然 2027 面上 · 七个月跑道</w:t>
      </w:r>
    </w:p>
    <w:p>
      <w:pPr>
        <w:spacing w:after="120" w:line="360" w:lineRule="auto"/>
        <w:ind w:firstLine="420"/>
        <w:jc w:val="both"/>
      </w:pPr>
      <w:r>
        <w:rPr>
          <w:rFonts w:ascii="Times New Roman" w:eastAsia="宋体" w:hAnsi="Times New Roman"/>
        </w:rPr>
        <w:t xml:space="preserve">这是本章最关键的一张表。现在到明年 3 月有六个多月，</w:t>
      </w:r>
      <w:r>
        <w:rPr>
          <w:rFonts w:ascii="Times New Roman" w:eastAsia="宋体" w:hAnsi="Times New Roman"/>
          <w:b/>
          <w:bCs/>
        </w:rPr>
        <w:t xml:space="preserve">足够把方案从设想变成带预实验数据的标书</w:t>
      </w:r>
      <w:r>
        <w:rPr>
          <w:rFonts w:ascii="Times New Roman" w:eastAsia="宋体" w:hAnsi="Times New Roman"/>
        </w:rPr>
        <w:t xml:space="preserve">——伦理批复、回顾队列实测例数、20 例预提取的缺失率、10–15 例菌群预试，这四样写进立项依据，和只有研究设计的标书不是一个量级。</w:t>
      </w:r>
    </w:p>
    <w:p>
      <w:pPr>
        <w:spacing w:after="160"/>
      </w:pP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2617"/>
        <w:gridCol w:w="1985"/>
        <w:gridCol w:w="4424"/>
      </w:tblGrid>
      <w:tr>
        <w:trPr>
          <w:tblHeader/>
        </w:trPr>
        <w:tc>
          <w:tcPr>
            <w:tcW w:type="dxa" w:w="2617"/>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工作项</w:t>
            </w:r>
          </w:p>
        </w:tc>
        <w:tc>
          <w:tcPr>
            <w:tcW w:type="dxa" w:w="198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时间</w:t>
            </w:r>
          </w:p>
        </w:tc>
        <w:tc>
          <w:tcPr>
            <w:tcW w:type="dxa" w:w="4424"/>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说明</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河南省科技攻关 · 申报截止</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2026-09-14</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18:00 截止，推荐单位 09-15 18:00</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湖北省自然科学基金 · 窗口</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2026-10 至 11（待通知）</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按上一轮节奏，09-30 前后发通知、10-30 截止</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伦理审批与 CRF 定稿</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2026-09 至 10</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知情同意书须含生物样本二次利用与数据共享条款</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回顾队列提取 · 20 例预提取</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2026-09 至 11</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实测可用例数与关键变量缺失率，决定回顾年限</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协作单位与测序公司落实</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2026-10 至 11</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2–3 家协作单位协议；三家测序报价；动物实验平台</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预实验：菌群预试 10–15 例</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2026-11 至 2027-01</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产出可写入立项依据的预实验结果图</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标书撰写与单位内审</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2027-01 至 03</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指南发布后按申报方向微调</w:t>
            </w:r>
          </w:p>
        </w:tc>
      </w:tr>
      <w:tr>
        <w:tc>
          <w:tcPr>
            <w:tcW w:type="dxa" w:w="2617"/>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国自然 2027 集中接收 · 截止</w:t>
            </w:r>
          </w:p>
        </w:tc>
        <w:tc>
          <w:tcPr>
            <w:tcW w:type="dxa" w:w="1985"/>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约 2027-03-20</w:t>
            </w:r>
          </w:p>
        </w:tc>
        <w:tc>
          <w:tcPr>
            <w:tcW w:type="dxa" w:w="4424"/>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8"/>
                <w:szCs w:val="18"/>
              </w:rPr>
              <w:t xml:space="preserve">16:00 截止，以当年官方通告为准</w:t>
            </w:r>
          </w:p>
        </w:tc>
      </w:tr>
    </w:tbl>
    <w:p>
      <w:pPr>
        <w:spacing w:after="160"/>
      </w:pPr>
    </w:p>
    <w:p>
      <w:pPr>
        <w:pStyle w:val="Heading2"/>
        <w:spacing w:after="120" w:before="240"/>
      </w:pPr>
      <w:r>
        <w:rPr>
          <w:rFonts w:ascii="Arial" w:eastAsia="黑体" w:hAnsi="Arial"/>
        </w:rPr>
        <w:t xml:space="preserve">两条线并行的打法</w:t>
      </w:r>
    </w:p>
    <w:p>
      <w:pPr>
        <w:spacing w:after="120" w:line="360" w:lineRule="auto"/>
        <w:ind w:firstLine="420"/>
        <w:jc w:val="both"/>
      </w:pPr>
      <w:r>
        <w:rPr>
          <w:rFonts w:ascii="Times New Roman" w:eastAsia="宋体" w:hAnsi="Times New Roman"/>
          <w:b/>
          <w:bCs/>
        </w:rPr>
        <w:t xml:space="preserve">主线是国自然 2027 面上</w:t>
      </w:r>
      <w:r>
        <w:rPr>
          <w:rFonts w:ascii="Times New Roman" w:eastAsia="宋体" w:hAnsi="Times New Roman"/>
        </w:rPr>
        <w:t xml:space="preserve">，全部准备工作按上面的跑道倒排，这也是本方案 55 万元、36 个月的目标额度。</w:t>
      </w:r>
      <w:r>
        <w:rPr>
          <w:rFonts w:ascii="Times New Roman" w:eastAsia="宋体" w:hAnsi="Times New Roman"/>
          <w:b/>
          <w:bCs/>
        </w:rPr>
        <w:t xml:space="preserve">副线是省级</w:t>
      </w:r>
      <w:r>
        <w:rPr>
          <w:rFonts w:ascii="Times New Roman" w:eastAsia="宋体" w:hAnsi="Times New Roman"/>
        </w:rPr>
        <w:t xml:space="preserve">：在河南就立刻确认 9 月 14 日还来不来得及；在湖北就盯本月底的通知；在广西留意后续版本指南；在湖南、广东、海南本年度已过，就把省级预算改由</w:t>
      </w:r>
      <w:r>
        <w:rPr>
          <w:rFonts w:ascii="Times New Roman" w:eastAsia="宋体" w:hAnsi="Times New Roman"/>
          <w:b/>
          <w:bCs/>
        </w:rPr>
        <w:t xml:space="preserve">省卫健委课题、省医学会课题或院级课题</w:t>
      </w:r>
      <w:r>
        <w:rPr>
          <w:rFonts w:ascii="Times New Roman" w:eastAsia="宋体" w:hAnsi="Times New Roman"/>
        </w:rPr>
        <w:t xml:space="preserve">过渡，同时用备选方案那套低成本队列先把随访体系和第一篇论文做出来——它既是明年省基金的申报基础，也是国自然标书里的前期工作。</w:t>
      </w:r>
    </w:p>
    <w:p>
      <w:pPr>
        <w:pStyle w:val="Heading1"/>
        <w:spacing w:after="160" w:before="360"/>
      </w:pPr>
      <w:r>
        <w:rPr>
          <w:rFonts w:ascii="Arial" w:eastAsia="黑体" w:hAnsi="Arial"/>
        </w:rPr>
        <w:t xml:space="preserve">十一、下个月的落地清单</w:t>
      </w:r>
    </w:p>
    <w:p>
      <w:pPr>
        <w:spacing w:after="120" w:line="360" w:lineRule="auto"/>
        <w:ind w:firstLine="420"/>
        <w:jc w:val="both"/>
      </w:pPr>
      <w:r>
        <w:rPr>
          <w:rFonts w:ascii="Times New Roman" w:eastAsia="宋体" w:hAnsi="Times New Roman"/>
        </w:rPr>
        <w:t xml:space="preserve">方案写得再完整，卡住的往往是前三件事。按顺序做——前三项直接决定</w:t>
      </w:r>
      <w:r>
        <w:rPr>
          <w:rFonts w:ascii="Times New Roman" w:eastAsia="宋体" w:hAnsi="Times New Roman"/>
          <w:b/>
          <w:bCs/>
        </w:rPr>
        <w:t xml:space="preserve">明年 3 月的标书里能不能写出真实例数与预实验结果</w:t>
      </w:r>
      <w:r>
        <w:rPr>
          <w:rFonts w:ascii="Times New Roman" w:eastAsia="宋体" w:hAnsi="Times New Roman"/>
        </w:rPr>
        <w:t xml:space="preserve">。</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导出近 10 年 HSCR / ARM 出院病例清单</w:t>
      </w:r>
      <w:r>
        <w:rPr>
          <w:rFonts w:ascii="Times New Roman" w:eastAsia="宋体" w:hAnsi="Times New Roman"/>
        </w:rPr>
        <w:t xml:space="preserve">，确认真实可用例数——这一步决定课题成不成立，务必先做</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做 20 例预提取</w:t>
      </w:r>
      <w:r>
        <w:rPr>
          <w:rFonts w:ascii="Times New Roman" w:eastAsia="宋体" w:hAnsi="Times New Roman"/>
        </w:rPr>
        <w:t xml:space="preserve">，实测关键变量缺失率，据此定回顾年限与候选变量个数</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系统检索一遍文献</w:t>
      </w:r>
      <w:r>
        <w:rPr>
          <w:rFonts w:ascii="Times New Roman" w:eastAsia="宋体" w:hAnsi="Times New Roman"/>
        </w:rPr>
        <w:t xml:space="preserve">（PubMed、万方 / CNKI、ClinicalTrials、ChiCTR），确认没有被同行做完或正在做</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定终点定义与 CRF</w:t>
      </w:r>
      <w:r>
        <w:rPr>
          <w:rFonts w:ascii="Times New Roman" w:eastAsia="宋体" w:hAnsi="Times New Roman"/>
        </w:rPr>
        <w:t xml:space="preserve">：Delphi 评分表电子化，写好双人盲评与仲裁流程</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撰写伦理申请与知情同意书</w:t>
      </w:r>
      <w:r>
        <w:rPr>
          <w:rFonts w:ascii="Times New Roman" w:eastAsia="宋体" w:hAnsi="Times New Roman"/>
        </w:rPr>
        <w:t xml:space="preserve">，务必含生物样本二次利用与数据共享条款</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制定生物样本 SOP</w:t>
      </w:r>
      <w:r>
        <w:rPr>
          <w:rFonts w:ascii="Times New Roman" w:eastAsia="宋体" w:hAnsi="Times New Roman"/>
        </w:rPr>
        <w:t xml:space="preserve">：采样盒规格、编码规则、采样至 −80 ℃ 冻存 &lt; 2 小时、交接记录表</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落实三方合作</w:t>
      </w:r>
      <w:r>
        <w:rPr>
          <w:rFonts w:ascii="Times New Roman" w:eastAsia="宋体" w:hAnsi="Times New Roman"/>
        </w:rPr>
        <w:t xml:space="preserve">：2 家协作单位、1 家测序公司比价（三家报价）、1 个动物实验平台</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组队</w:t>
      </w:r>
      <w:r>
        <w:rPr>
          <w:rFonts w:ascii="Times New Roman" w:eastAsia="宋体" w:hAnsi="Times New Roman"/>
        </w:rPr>
        <w:t xml:space="preserve">：1 名主治负责临床数据、1 名研究生负责样本与实验、1 名生信 / 统计固定支持</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ChiCTR 注册</w:t>
      </w:r>
      <w:r>
        <w:rPr>
          <w:rFonts w:ascii="Times New Roman" w:eastAsia="宋体" w:hAnsi="Times New Roman"/>
        </w:rPr>
        <w:t xml:space="preserve">，并预约统计师做一次样本量与分析计划的正式复核</w:t>
      </w:r>
    </w:p>
    <w:p>
      <w:pPr>
        <w:spacing w:after="80" w:line="340" w:lineRule="auto"/>
        <w:ind w:left="640" w:hanging="360"/>
      </w:pPr>
      <w:r>
        <w:rPr>
          <w:rFonts w:ascii="Times New Roman" w:eastAsia="宋体" w:hAnsi="Times New Roman"/>
        </w:rPr>
        <w:t xml:space="preserve">□　</w:t>
      </w:r>
      <w:r>
        <w:rPr>
          <w:rFonts w:ascii="Times New Roman" w:eastAsia="宋体" w:hAnsi="Times New Roman"/>
          <w:b/>
          <w:bCs/>
        </w:rPr>
        <w:t xml:space="preserve">核实本省 2027 年度省基金窗口</w:t>
      </w:r>
      <w:r>
        <w:rPr>
          <w:rFonts w:ascii="Times New Roman" w:eastAsia="宋体" w:hAnsi="Times New Roman"/>
        </w:rPr>
        <w:t xml:space="preserve">（见第十章），还开着就先报一个省级作为前期支撑</w:t>
      </w:r>
    </w:p>
    <w:p>
      <w:pPr>
        <w:pStyle w:val="Heading1"/>
        <w:spacing w:after="160" w:before="360"/>
      </w:pPr>
      <w:r>
        <w:rPr>
          <w:rFonts w:ascii="Arial" w:eastAsia="黑体" w:hAnsi="Arial"/>
        </w:rPr>
        <w:t xml:space="preserve">十二、常见踩坑</w:t>
      </w:r>
    </w:p>
    <w:tbl>
      <w:tblPr>
        <w:tblW w:type="dxa" w:w="9026"/>
        <w:tblBorders>
          <w:top w:val="single" w:color="6E7180" w:sz="8"/>
          <w:left w:val="none" w:color="auto" w:sz="0"/>
          <w:bottom w:val="single" w:color="6E7180" w:sz="8"/>
          <w:right w:val="none" w:color="auto" w:sz="0"/>
          <w:insideH w:val="single" w:color="B8B8C4" w:sz="4"/>
          <w:insideV w:val="single" w:color="B8B8C4" w:sz="4"/>
        </w:tblBorders>
      </w:tblPr>
      <w:tblGrid>
        <w:gridCol w:w="4151"/>
        <w:gridCol w:w="4875"/>
      </w:tblGrid>
      <w:tr>
        <w:trPr>
          <w:tblHeader/>
        </w:trPr>
        <w:tc>
          <w:tcPr>
            <w:tcW w:type="dxa" w:w="4151"/>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常见做法</w:t>
            </w:r>
          </w:p>
        </w:tc>
        <w:tc>
          <w:tcPr>
            <w:tcW w:type="dxa" w:w="4875"/>
            <w:shd w:fill="E8E8EF" w:color="auto" w:val="clear"/>
            <w:tcMar>
              <w:top w:type="dxa" w:w="80"/>
              <w:left w:type="dxa" w:w="110"/>
              <w:bottom w:type="dxa" w:w="80"/>
              <w:right w:type="dxa" w:w="110"/>
            </w:tcMar>
            <w:vAlign w:val="top"/>
          </w:tcPr>
          <w:p>
            <w:pPr>
              <w:spacing w:after="20" w:before="20" w:line="280" w:lineRule="auto"/>
              <w:jc w:val="left"/>
            </w:pPr>
            <w:r>
              <w:rPr>
                <w:rFonts w:ascii="Times New Roman" w:eastAsia="宋体" w:hAnsi="Times New Roman"/>
                <w:b/>
                <w:bCs/>
                <w:sz w:val="17"/>
                <w:szCs w:val="17"/>
              </w:rPr>
              <w:t xml:space="preserve">应当怎么做</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例数靠“估计”写进标书，开题后发现凑不齐</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先导出病例清单核实真实可用例数，再回头写样本量那一节</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结局写成“恢复良好 / 一般 / 较差”</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一律换成公认量表：Delphi HAEC 评分、Rintala BFS、Krickenbeck 分类、PedsQL</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创新点列五条，每条都浅</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压到三条，其中至少一条是方法学或因果层面的真突破</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组学做完只出一张差异菌属柱状图</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必须往前走一步：中介分析、通路拮抗或粪菌移植，否则仍是相关性研究</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模型只报 AUC，不报校准度与临床收益</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补齐校准曲线、决策曲线分析与 NRI / IDI，并按 TRIPOD 逐条对照</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纯临床或纯基础，单中心难以竞争</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回到“临床队列 + 生物样本库 + 一个机制切入点”的三件套结构</w:t>
            </w:r>
          </w:p>
        </w:tc>
      </w:tr>
      <w:tr>
        <w:tc>
          <w:tcPr>
            <w:tcW w:type="dxa" w:w="4151"/>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样本采了但 SOP 不统一，后期检测批次效应无法校正</w:t>
            </w:r>
          </w:p>
        </w:tc>
        <w:tc>
          <w:tcPr>
            <w:tcW w:type="dxa" w:w="4875"/>
            <w:tcMar>
              <w:top w:type="dxa" w:w="80"/>
              <w:left w:type="dxa" w:w="110"/>
              <w:bottom w:type="dxa" w:w="80"/>
              <w:right w:type="dxa" w:w="110"/>
            </w:tcMar>
            <w:vAlign w:val="top"/>
          </w:tcPr>
          <w:p>
            <w:pPr>
              <w:spacing w:after="20" w:before="20" w:line="280" w:lineRule="auto"/>
              <w:jc w:val="left"/>
            </w:pPr>
            <w:r>
              <w:rPr>
                <w:rFonts w:ascii="Times New Roman" w:eastAsia="宋体" w:hAnsi="Times New Roman"/>
                <w:b w:val="false"/>
                <w:bCs w:val="false"/>
                <w:sz w:val="18"/>
                <w:szCs w:val="18"/>
              </w:rPr>
              <w:t xml:space="preserve">立项前把 SOP 固定成纸质表格贴在冰箱上，并预留批次内参样本</w:t>
            </w:r>
          </w:p>
        </w:tc>
      </w:tr>
    </w:tbl>
    <w:p>
      <w:pPr>
        <w:spacing w:after="160"/>
      </w:pPr>
    </w:p>
    <w:p>
      <w:pPr>
        <w:pBdr>
          <w:top w:val="single" w:color="B8B8C4" w:sz="6"/>
        </w:pBdr>
        <w:spacing w:before="240" w:line="320" w:lineRule="auto"/>
        <w:jc w:val="both"/>
      </w:pPr>
      <w:r>
        <w:rPr>
          <w:rFonts w:ascii="Times New Roman" w:eastAsia="宋体" w:hAnsi="Times New Roman"/>
          <w:color w:val="4A4D63"/>
          <w:sz w:val="18"/>
          <w:szCs w:val="18"/>
        </w:rPr>
        <w:t xml:space="preserve">说明：本文件为课题规划框架。其中发生率、效应量与预算均为按文献常见区间给出的规划用估计值，申报窗口日期来自公开渠道检索且未逐条核对官网原文。正式申报前请以本中心实际病例数据、最新文献与本院科研处正式通知复核，并请统计专业人员正式核算样本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eastAsia="黑体" w:hAnsi="Arial"/>
      <w:b/>
      <w:bCs/>
      <w:color w:val="1C1E2B"/>
      <w:sz w:val="32"/>
      <w:szCs w:val="32"/>
    </w:rPr>
  </w:style>
  <w:style w:type="paragraph" w:styleId="Heading2">
    <w:name w:val="Heading 2"/>
    <w:basedOn w:val="Normal"/>
    <w:next w:val="Normal"/>
    <w:qFormat/>
    <w:pPr>
      <w:spacing w:after="120" w:before="240"/>
      <w:outlineLvl w:val="1"/>
    </w:pPr>
    <w:rPr>
      <w:rFonts w:ascii="Arial" w:eastAsia="黑体" w:hAnsi="Arial"/>
      <w:b/>
      <w:bCs/>
      <w:color w:val="414C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2026-09-12T08:10:15.954Z</dcterms:created>
  <dcterms:modified xsi:type="dcterms:W3CDTF">2026-09-12T08:10:15.955Z</dcterms:modified>
</cp:coreProperties>
</file>

<file path=docProps/custom.xml><?xml version="1.0" encoding="utf-8"?>
<Properties xmlns="http://schemas.openxmlformats.org/officeDocument/2006/custom-properties" xmlns:vt="http://schemas.openxmlformats.org/officeDocument/2006/docPropsVTypes"/>
</file>