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One further distinction is necessary. Ten admissions carry the coded discharge diagnosis "procedure not performed for reasons attributable to the family", and all ten fall into the observation class. In these children observation was not the clinician's judgement but the outcome of a declined intervention, so the label carries a different meaning; they were flagged and excluded in a prespecified sensitivity analysis. We did not attempt to identify further such admissions from free text: phrases such as "the family requested discharge" appear in 359 records including 137 after endoscopy and 22 after surgery, and are routine discharge wording rather than a marker of refusal.</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w:t>
      </w:r>
    </w:p>
    <w:p>
      <w:pPr>
        <w:spacing w:after="80"/>
      </w:pPr>
      <w:r>
        <w:rPr>
          <w:b w:val="0"/>
          <w:i w:val="0"/>
          <w:sz w:val="24"/>
        </w:rPr>
        <w:t>Draws were constrained to the observed range of each variable. Without that constraint the posterior draws are unbounded and a small number of impossible values appear — negative weights and leucocyte counts, neutrophil percentages outside 0 to 100 — amounting to 20 of 11 220 imputed values before the constraint was applied. Observed and imputed distributions are compared in Supplementary Figure S1. They are not expected to coincide: the missingness is informative, so a perfect overlap would indicate that the imputation model had ignored the outcome and the remaining covariates rather than that it had performed well.</w:t>
      </w:r>
    </w:p>
    <w:p>
      <w:pPr>
        <w:spacing w:after="80"/>
      </w:pPr>
      <w:r>
        <w:rPr>
          <w:b/>
          <w:i w:val="0"/>
          <w:sz w:val="24"/>
        </w:rPr>
        <w:t>2.5. Sample size</w:t>
      </w:r>
    </w:p>
    <w:p>
      <w:pPr>
        <w:spacing w:after="80"/>
      </w:pPr>
      <w:r>
        <w:rPr>
          <w:b w:val="0"/>
          <w:i w:val="0"/>
          <w:sz w:val="24"/>
        </w:rPr>
        <w:t>The cohort comprises every eligible admission over ten years, so the sample size was fixed by the study period rather than chosen. We therefore report the sample size criteria of Riley and colleagues as an audit of what the available data support, not as an a priori calculation [REF-7: Riley 等预测模型最小样本量方法学文献]. For a multinomial model the criteria were applied to each pairwise comparison in turn and the most demanding taken [REF-8: Pate/Riley 多分类最小样本量文献]. The anticipated Cox–Snell R² was taken from the cross-validated predictions rather than the apparent ones, since using an optimistic R² would understate the sample size required.</w:t>
      </w:r>
    </w:p>
    <w:p>
      <w:pPr>
        <w:spacing w:after="80"/>
      </w:pPr>
      <w:r>
        <w:rPr>
          <w:b w:val="0"/>
          <w:i w:val="0"/>
          <w:sz w:val="24"/>
        </w:rPr>
        <w:t>With 32 predictor parameters, none of the three comparisons is fully supported. Expressed as whole-cohort equivalents, observation versus surgery requires 1 417 admissions and endoscopy versus surgery 1 471, against the 1 238 available; for both, the binding criterion is that apparent and adjusted Nagelkerke R² differ by no more than 0.05. The observation versus endoscopy comparison requires 2 095, and there the binding criterion is expected shrinkage of no more than 10%.</w:t>
      </w:r>
    </w:p>
    <w:p>
      <w:pPr>
        <w:spacing w:after="80"/>
      </w:pPr>
      <w:r>
        <w:rPr>
          <w:b w:val="0"/>
          <w:i w:val="0"/>
          <w:sz w:val="24"/>
        </w:rPr>
        <w:t>This shortfall is a property of the clinical problem rather than an oversight, and it runs in the same direction as our central finding. The requirement rises as the outcome becomes harder to predict, and the observation–endoscopy distinction is precisely the one the data separate least well. It is why the model is penalised, why we report fold-internal cross-validation rather than apparent performance, and why we do not propose the observation–endoscopy probabilities as a decision rule. We state it here rather than in the limitations alone, because it bears on how the model should be read throughout.</w:t>
      </w:r>
    </w:p>
    <w:p>
      <w:pPr>
        <w:spacing w:after="80"/>
      </w:pPr>
      <w:r>
        <w:rPr>
          <w:b w:val="0"/>
          <w:i w:val="0"/>
          <w:sz w:val="24"/>
        </w:rPr>
        <w:t>【TODO: 学习曲线敏感性分析，依 outputs/learning_curve.txt 改写为正式段落。要点（措辞须谨慎，不可越过观测范围外推）：固定测试集（n=248）+ 训练池分层子抽样（n=99→990）显示观察/内镜的判别力尾段斜率仅为头段的 0.10–0.12（手术类作对照为 0.17，走平更早符合预期），即在当前训练池规模内已大体走平而非仍在陡峭爬升。这一观察与「样本不足」这一替代解释方向相反，为「观察/内镜边界不清是决策本身的性质」提供了一条独立于上文 Riley 核算的旁证。但**必须与上一段的样本量短缺并置陈述，不可单独使用去掩盖它**：曲线只覆盖到 n=990，走平也可能只是「当前规模内爬得慢」，不等同于「给再多同类数据也不会再涨」——没有做任何超出观测范围的外推，写作时须保留「in the available sample」一类限定语】</w:t>
      </w:r>
    </w:p>
    <w:p>
      <w:pPr>
        <w:spacing w:after="80"/>
      </w:pPr>
      <w:r>
        <w:rPr>
          <w:b/>
          <w:i w:val="0"/>
          <w:sz w:val="24"/>
        </w:rPr>
        <w:t>2.6. Statistical analysis</w:t>
      </w:r>
    </w:p>
    <w:p>
      <w:pPr>
        <w:spacing w:after="80"/>
      </w:pPr>
      <w:r>
        <w:rPr>
          <w:b w:val="0"/>
          <w:i w:val="0"/>
          <w:sz w:val="24"/>
        </w:rPr>
        <w:t>The primary model was a penalised multinomial logistic regression with observation as the reference class. The penalty type (L1 or L2) and its strength were selected together by five-fold cross-validation over a grid, minimising multiclass log-loss; an L1 (lasso) penalty was selected, at the inverse-strength value C = 0.1. Selection was performed once on a median-filled copy of the data and the chosen penalty then held fixed across the imputed datasets; this keeps the computation tractable but means the optimism correction is slightly anticonservative, as noted below.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because the model is linear on the log-odds scale these were computed exactly rather than approximated.</w:t>
      </w:r>
    </w:p>
    <w:p>
      <w:pPr>
        <w:spacing w:after="80"/>
      </w:pPr>
      <w:r>
        <w:rPr>
          <w:b w:val="0"/>
          <w:i w:val="0"/>
          <w:sz w:val="24"/>
        </w:rPr>
        <w:t>Analyses used Python 3.11.15 with scikit-learn 1.9.1, pandas 3.0.5, NumPy 2.4.6, SciPy 1.17.1 and Matplotlib 3.11.2. Multiple imputation used scikit-learn's IterativeImputer, which remains an experimental module in that library. Multiclass discrimination, calibration and net-benefit measures have no established implementation and were written for this study; they are verified against constructed data in the accompanying code.</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retention of C-reactive protein; and exclusion of admissions in which a planned procedure was not performed because the family declined it.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companion report</w:t>
      </w:r>
    </w:p>
    <w:p>
      <w:pPr>
        <w:spacing w:after="80"/>
      </w:pPr>
      <w:r>
        <w:rPr>
          <w:b w:val="0"/>
          <w:i w:val="0"/>
          <w:sz w:val="24"/>
        </w:rPr>
        <w:t>This cohort has been partly described in a separate report on the epidemiology of magnetic foreign body ingestion, by the same authors and currently under review [REF-10: 作者本人的磁性异物论文，已投 JPGN 在审。须向用户索取题目、作者序与投稿日期；见刊或挂出 medRxiv 预印本后补入完整引用，在此之前按 「under review」 处理]. The present study addresses a different question, with a different outcome variable and a different analytical approach: that report describes what children swallow and how often magnets perforate, whereas this one predicts which of three management decisions a child will receive. 【TODO: 逐一核对后确认「两文不共用任何图表与结果」这一句成立——Fig 2 与 Table 4 是风险点。该文已定稿投出，图表清单固定，现在即可核；核完前不要把这句当已证实的事实投出去】</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The mix of management delivered shifted over the decade (Fig 2). Observation rose from 43.8% of admissions in 2016 to 59.8% in the first half of 2026, while endoscopic retrieval fell from 47.9% to 31.5%. Surgery remained a small minority throughout except in 2020, when it accounted for 32.0% of 50 admissions. 【TODO: 2020 年的解释——需核对该年是否因疫情期间就诊延迟、仅重症就医而改变了住院人群构成；n=50 是全期最小，比例波动本身也大，勿过度解读】</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调阅这两例病历，说明再入院时的异物位置与手术所见——surgery. Review of both records showed an object retained for weeks with a clear indication for intervention, and in both the index discharge followed a family decision rather than a clinical judgement that observation was appropriate. In one, a pebble measuring 19 x 11 mm had lodged at the ileocaecal region for 11 days with rectal bleeding, and was removed at laparotomy after laparoscopy and colonoscopy failed to retrieve it. In the other, two magnetic objects had been retained for a month and computed tomography showed them apposed across the gastric wall; the child returned with a gastrocolic fistula and gastric perforation requiring repair.</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0.773。这些数字仅供占位，正式分析后整段重写。改写时须引 Fig 4，并以折内交叉验证值为内部效能的主报告值——表观 0.832 与 Bootstrap 校正 0.814 均偏乐观，不可单报】</w:t>
      </w:r>
    </w:p>
    <w:p>
      <w:pPr>
        <w:spacing w:after="80"/>
      </w:pPr>
      <w:r>
        <w:rPr>
          <w:b w:val="0"/>
          <w:i w:val="0"/>
          <w:sz w:val="24"/>
        </w:rPr>
        <w:t>【TODO: 校准结果——逐类校准斜率与截距、校准曲线（Fig 5A）。要点已明确：交叉验证校准良好（斜率 0.95/0.98/1.13，截距均近 0），时间验证截距明显漂移（观察 +0.43、内镜 −0.28、手术 −0.55），方向与构成比变化一致。须写明「判别力经受住时间验证、校准没有」，并给出重估截距的建议——否则读者会默认时间验证通过即可直接部署】</w:t>
      </w:r>
    </w:p>
    <w:p>
      <w:pPr>
        <w:spacing w:after="80"/>
      </w:pPr>
      <w:r>
        <w:rPr>
          <w:b w:val="0"/>
          <w:i w:val="0"/>
          <w:sz w:val="24"/>
        </w:rPr>
        <w:t>【TODO: 决策曲线分析结果——各类别在临床相关阈值区间的净获益（Fig 5B）。模型优于两条参照线的区间：观察 0.15–0.71、内镜 0.07–0.79、手术 0.02–0.78。低于该区间时 treat-all 更优，这是阈值低于患病率时的常态，须一并说明，不要只报优势区间】</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 【TODO: 补一句引学习曲线（§2.5 末段 / outputs/learning_curve.txt）——观察/内镜的判别力在现有训练池规模内已大体走平（尾/头斜率比 0.10–0.12），为此处论点提供旁证；但同段须同时提醒读者这与样本量核算（§2.5，该对比较仍需 2095 例）并非互相矛盾而是同一枚硬币的两面，不要写成学习曲线已经「证明」了这一论点】</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That both readmitted children had declined intervention at the index admission points to a broader caveat about the outcome label. The observation class contains two distinct situations — observation chosen because it was judged appropriate, and observation arrived at because an offered intervention was refused — and only the first is the decision a model should learn. Excluding the ten admissions where refusal is explicitly coded improved discrimination 《from a macro-averaged AUC of 0.788 to 0.794, and for the observation class from 0.725 to 0.735》, consistent with those labels behaving as noise. Refusal is unlikely to be coded in every instance, so some residual contamination of the observation class should be assumed.</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 both of them had declined an offered intervention rather than been judged suitable for observation.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(已生成：outputs/figures/fig1_flow.pdf，矢量)</w:t>
      </w:r>
    </w:p>
    <w:p>
      <w:pPr>
        <w:spacing w:after="40"/>
      </w:pPr>
      <w:r>
        <w:rPr>
          <w:b w:val="0"/>
          <w:i w:val="0"/>
          <w:sz w:val="24"/>
        </w:rPr>
        <w:t>Fig 2. Management delivered by year of admission, as a proportion of admissions. (已生成：outputs/figures/fig2_trend.pdf，矢量)</w:t>
      </w:r>
    </w:p>
    <w:p>
      <w:pPr>
        <w:spacing w:after="40"/>
      </w:pPr>
      <w:r>
        <w:rPr>
          <w:b w:val="0"/>
          <w:i w:val="0"/>
          <w:sz w:val="24"/>
        </w:rPr>
        <w:t>Fig 3. Sankey diagram of the care pathway: object type to management to outcome. Ribbons are coloured by management. Objects matching more than one category are assigned to the highest-risk one (magnetic &gt; button battery &gt; sharp &gt; coin or blunt metal &gt; fruit pit &gt; long &gt; other). Most perforations were present on admission and were therefore the indication for surgery rather than a consequence of it. (已生成：outputs/figures/fig3_sankey.pdf，矢量。X 线重标注回流后脚本会自动插入「消化道位置」一层，届时重跑即成四段图)</w:t>
      </w:r>
    </w:p>
    <w:p>
      <w:pPr>
        <w:spacing w:after="40"/>
      </w:pPr>
      <w:r>
        <w:rPr>
          <w:b w:val="0"/>
          <w:i w:val="0"/>
          <w:sz w:val="24"/>
        </w:rPr>
        <w:t>Fig 4. Receiver operating characteristic curves, one-versus-rest. (A) Internal validation by 5-fold cross-validation with imputation performed separately within each fold (N = 1238). (B) Temporal validation: the model fitted on 2016–2023 admissions applied unchanged to admissions after 2023 (N = 413). Areas under the curve are shown with 95% bootstrap confidence intervals from 2000 resamples of cases; class sizes are in parentheses. Apparent (in-sample) curves are not shown because they overstate discrimination by about 0.03 macro AUC. (已生成：outputs/figures/fig4_roc.pdf，矢量)</w:t>
      </w:r>
    </w:p>
    <w:p>
      <w:pPr>
        <w:spacing w:after="40"/>
      </w:pPr>
      <w:r>
        <w:rPr>
          <w:b w:val="0"/>
          <w:i w:val="0"/>
          <w:sz w:val="24"/>
        </w:rPr>
        <w:t>Fig 5. (A) Class-specific calibration and (B) decision curve analysis. (A) Calibration slope / intercept are given above each panel for the cross-validated (CV) and temporal (Temp) predictions; the shaded strip shows the distribution of predicted probabilities. Discrimination survives temporal validation but calibration does not: the intercepts move with the case mix (observation 47.1 → 55.9%, endoscopy 42.0 → 36.3%, surgery 10.9 → 7.7%), so the intercepts would require re-estimation before use in a later period. (B) Net benefit from the cross-validated predictions; shading marks the threshold range over which the model exceeds both default strategies. (已生成：outputs/figures/fig5_calibration_dca.pdf，矢量)</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