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1"/>
        </w:rPr>
        <w:t>Table 1　三组基线特征比较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tcBorders>
              <w:top w:val="single" w:sz="18" w:color="000000"/>
            </w:tcBorders>
            <w:tcBorders>
              <w:bottom w:val="single" w:sz="12" w:color="000000"/>
            </w:tcBorders>
          </w:tcPr>
          <w:p>
            <w:pPr>
              <w:jc w:val="left"/>
            </w:pPr>
            <w:r>
              <w:rPr>
                <w:b/>
              </w:rPr>
              <w:t>变量</w:t>
            </w:r>
          </w:p>
        </w:tc>
        <w:tc>
          <w:tcPr>
            <w:tcW w:type="dxa" w:w="1080"/>
            <w:tcBorders>
              <w:top w:val="single" w:sz="18" w:color="000000"/>
            </w:tcBorders>
            <w:tcBorders>
              <w:bottom w:val="single" w:sz="12" w:color="000000"/>
            </w:tcBorders>
          </w:tcPr>
          <w:p>
            <w:pPr>
              <w:jc w:val="center"/>
            </w:pPr>
            <w:r>
              <w:rPr>
                <w:b/>
              </w:rPr>
              <w:t>观察</w:t>
            </w:r>
          </w:p>
        </w:tc>
        <w:tc>
          <w:tcPr>
            <w:tcW w:type="dxa" w:w="1080"/>
            <w:tcBorders>
              <w:top w:val="single" w:sz="18" w:color="000000"/>
            </w:tcBorders>
            <w:tcBorders>
              <w:bottom w:val="single" w:sz="12" w:color="000000"/>
            </w:tcBorders>
          </w:tcPr>
          <w:p>
            <w:pPr>
              <w:jc w:val="center"/>
            </w:pPr>
            <w:r>
              <w:rPr>
                <w:b/>
              </w:rPr>
              <w:t>内镜</w:t>
            </w:r>
          </w:p>
        </w:tc>
        <w:tc>
          <w:tcPr>
            <w:tcW w:type="dxa" w:w="1080"/>
            <w:tcBorders>
              <w:top w:val="single" w:sz="18" w:color="000000"/>
            </w:tcBorders>
            <w:tcBorders>
              <w:bottom w:val="single" w:sz="12" w:color="000000"/>
            </w:tcBorders>
          </w:tcPr>
          <w:p>
            <w:pPr>
              <w:jc w:val="center"/>
            </w:pPr>
            <w:r>
              <w:rPr>
                <w:b/>
              </w:rPr>
              <w:t>手术</w:t>
            </w:r>
          </w:p>
        </w:tc>
        <w:tc>
          <w:tcPr>
            <w:tcW w:type="dxa" w:w="1080"/>
            <w:tcBorders>
              <w:top w:val="single" w:sz="18" w:color="000000"/>
            </w:tcBorders>
            <w:tcBorders>
              <w:bottom w:val="single" w:sz="12" w:color="000000"/>
            </w:tcBorders>
          </w:tcPr>
          <w:p>
            <w:pPr>
              <w:jc w:val="center"/>
            </w:pPr>
            <w:r>
              <w:rPr>
                <w:b/>
              </w:rPr>
              <w:t>合计</w:t>
            </w:r>
          </w:p>
        </w:tc>
        <w:tc>
          <w:tcPr>
            <w:tcW w:type="dxa" w:w="1080"/>
            <w:tcBorders>
              <w:top w:val="single" w:sz="18" w:color="000000"/>
            </w:tcBorders>
            <w:tcBorders>
              <w:bottom w:val="single" w:sz="12" w:color="000000"/>
            </w:tcBorders>
          </w:tcPr>
          <w:p>
            <w:pPr>
              <w:jc w:val="center"/>
            </w:pPr>
            <w:r>
              <w:rPr>
                <w:b/>
              </w:rPr>
              <w:t>缺失</w:t>
            </w:r>
          </w:p>
        </w:tc>
        <w:tc>
          <w:tcPr>
            <w:tcW w:type="dxa" w:w="1080"/>
            <w:tcBorders>
              <w:top w:val="single" w:sz="18" w:color="000000"/>
            </w:tcBorders>
            <w:tcBorders>
              <w:bottom w:val="single" w:sz="12" w:color="000000"/>
            </w:tcBorders>
          </w:tcPr>
          <w:p>
            <w:pPr>
              <w:jc w:val="center"/>
            </w:pPr>
            <w:r>
              <w:rPr>
                <w:b/>
              </w:rPr>
              <w:t>P 值</w:t>
            </w:r>
          </w:p>
        </w:tc>
        <w:tc>
          <w:tcPr>
            <w:tcW w:type="dxa" w:w="1080"/>
            <w:tcBorders>
              <w:top w:val="single" w:sz="18" w:color="000000"/>
            </w:tcBorders>
            <w:tcBorders>
              <w:bottom w:val="single" w:sz="12" w:color="000000"/>
            </w:tcBorders>
          </w:tcPr>
          <w:p>
            <w:pPr>
              <w:jc w:val="center"/>
            </w:pPr>
            <w:r>
              <w:rPr>
                <w:b/>
              </w:rPr>
              <w:t>效应量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>
              <w:t>例数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583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520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135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1238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</w:tr>
      <w:tr>
        <w:tc>
          <w:tcPr>
            <w:tcW w:type="dxa" w:w="1080"/>
          </w:tcPr>
          <w:p>
            <w:r>
              <w:rPr>
                <w:b/>
                <w:i/>
              </w:rPr>
              <w:t>人口学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pPr>
              <w:jc w:val="left"/>
            </w:pPr>
            <w:r>
              <w:t>年龄，岁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3.0 (1.6–5.7)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3.4 (2.1–5.7)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3.3 (2.0–6.2)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3.2 (1.8–5.8)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>
              <w:t>0.023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0.004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>
              <w:t>体重，kg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15.0 (11.0–21.5)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16.0 (12.0–21.0)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14.8 (12.0–22.0)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15.0 (12.0–21.0)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0.117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0.002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>
              <w:t>男性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370 (63.5)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333 (64.0)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76 (56.3)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779 (62.9)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>
              <w:t>0.236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0.048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i/>
              </w:rPr>
              <w:t>误食史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pPr>
              <w:jc w:val="left"/>
            </w:pPr>
            <w:r>
              <w:t>误食至就诊时长，h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6.0 (4.0–15.0)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10.0 (4.5–77.0)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72.0 (24.0–144.0)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8.0 (4.0–48.0)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&lt;0.001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0.119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i/>
              </w:rPr>
              <w:t>异物类型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pPr>
              <w:jc w:val="left"/>
            </w:pPr>
            <w:r>
              <w:t>纽扣电池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97 (16.6)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55 (10.6)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 (1.5)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154 (12.4)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>
              <w:t>&lt;0.001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0.145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>
              <w:t>磁性异物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59 (10.1)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30 (5.8)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62 (45.9)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151 (12.2)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>
              <w:t>&lt;0.001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0.366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>
              <w:t>尖锐异物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142 (24.4)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79 (15.2)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 (2.2)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224 (18.1)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>
              <w:t>&lt;0.001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0.183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>
              <w:t>硬币或金属钝物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84 (14.4)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216 (41.5)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7 (5.2)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307 (24.8)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>
              <w:t>&lt;0.001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0.336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>
              <w:t>圆球状钝物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10 (1.7)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12 (2.3)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8 (5.9)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30 (2.4)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>
              <w:t>0.015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0.082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>
              <w:t>果核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42 (7.2)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15 (2.9)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5 (3.7)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62 (5.0)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>
              <w:t>0.003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0.096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>
              <w:t>长条状异物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18 (3.1)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47 (9.0)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 (2.2)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68 (5.5)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>
              <w:t>&lt;0.001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0.133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>
              <w:t>塑料或玩具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34 (5.8)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34 (6.5)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 (2.2)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71 (5.7)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>
              <w:t>0.156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0.055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>
              <w:t>水银或体温计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13 (2.2)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 (0.0)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 (0.0)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13 (1.1)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>
              <w:t>0.002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0.109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>
              <w:t>多发异物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80 (13.7)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40 (7.7)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35 (25.9)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155 (12.5)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>
              <w:t>&lt;0.001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0.166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i/>
              </w:rPr>
              <w:t>症状与体征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pPr>
              <w:jc w:val="left"/>
            </w:pPr>
            <w:r>
              <w:t>体温，°C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36.5 (36.3–36.6)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36.5 (36.3–36.6)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36.5 (36.5–36.8)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36.5 (36.3–36.6)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&lt;0.001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0.014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>
              <w:t>腹痛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107 (18.4)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100 (19.2)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77 (57.0)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284 (22.9)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>
              <w:t>&lt;0.001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0.284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>
              <w:t>呕吐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97 (16.6)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112 (21.5)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80 (59.3)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289 (23.3)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>
              <w:t>&lt;0.001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0.302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>
              <w:t>呕血或黑便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5 (0.9)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 (0.2)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 (2.2)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9 (0.7)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>
              <w:t>0.044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0.072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>
              <w:t>发热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45 (7.7)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29 (5.6)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36 (26.7)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110 (8.9)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>
              <w:t>&lt;0.001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0.221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>
              <w:t>吞咽困难或流涎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 (0.2)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6 (1.2)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 (0.0)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7 (0.6)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>
              <w:t>0.068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0.067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>
              <w:t>腹胀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 (0.2)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 (0.2)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11 (8.1)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13 (1.1)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>
              <w:t>&lt;0.001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0.244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>
              <w:t>腹部压痛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46 (7.9)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30 (5.8)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60 (44.4)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136 (11.0)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>
              <w:t>&lt;0.001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0.376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>
              <w:t>腹膜刺激征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7 (1.2)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11 (2.1)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23 (17.0)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41 (3.3)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>
              <w:t>&lt;0.001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0.269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i/>
              </w:rPr>
              <w:t>影像（决策前首次 X 线）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pPr>
              <w:jc w:val="left"/>
            </w:pPr>
            <w:r>
              <w:t>有决策前 X 线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497 (85.2)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373 (71.7)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111 (82.2)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981 (79.2)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>
              <w:t>&lt;0.001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0.159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>
              <w:t>不透 X 线异物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396 (79.7)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271 (72.7)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61 (55.0)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728 (74.2)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257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&lt;0.001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0.174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>
              <w:t>食管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 (0.4)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14 (3.8)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 (1.8)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18 (1.8)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257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0.003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0.116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>
              <w:t>胃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9 (1.8)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22 (5.9)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 (1.8)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33 (3.4)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257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0.004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0.110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>
              <w:t>十二指肠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 (0.4)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 (1.1)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 (1.8)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8 (0.8)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257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0.195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0.052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>
              <w:t>小肠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 (0.6)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 (0.0)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8 (7.2)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11 (1.1)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257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&lt;0.001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0.208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>
              <w:t>结直肠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74 (14.9)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55 (14.7)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16 (14.4)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145 (14.8)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257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0.992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0.004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i/>
              </w:rPr>
              <w:t>实验室（决策前首次结果）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pPr>
              <w:jc w:val="left"/>
            </w:pPr>
            <w:r>
              <w:t>白细胞计数，10^9/L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8.6 (7.0–10.4)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8.4 (7.0–10.2)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8.8 (7.3–12.0)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8.5 (7.1–10.5)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177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0.079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0.003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>
              <w:t>中性粒细胞百分比，%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39.0 (27.3–51.8)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44.2 (33.9–56.0)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62.6 (45.0–72.7)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42.8 (31.2–56.6)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177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&lt;0.001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0.085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>
              <w:t>白蛋白，g/L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46.1 (44.1–47.8)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46.0 (44.1–47.8)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44.7 (42.6–46.4)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45.9 (43.9–47.6)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141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&lt;0.001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0.016</w:t>
            </w:r>
          </w:p>
        </w:tc>
      </w:tr>
      <w:tr>
        <w:tc>
          <w:tcPr>
            <w:tcW w:type="dxa" w:w="1080"/>
            <w:tcBorders>
              <w:bottom w:val="single" w:sz="18" w:color="000000"/>
            </w:tcBorders>
          </w:tcPr>
          <w:p>
            <w:pPr>
              <w:jc w:val="left"/>
            </w:pPr>
            <w:r>
              <w:t>C 反应蛋白，mg/L</w:t>
            </w:r>
          </w:p>
        </w:tc>
        <w:tc>
          <w:tcPr>
            <w:tcW w:type="dxa" w:w="1080"/>
            <w:tcBorders>
              <w:bottom w:val="single" w:sz="18" w:color="000000"/>
            </w:tcBorders>
          </w:tcPr>
          <w:p>
            <w:pPr>
              <w:jc w:val="center"/>
            </w:pPr>
            <w:r>
              <w:t>0.4 (0.4–0.9)</w:t>
            </w:r>
          </w:p>
        </w:tc>
        <w:tc>
          <w:tcPr>
            <w:tcW w:type="dxa" w:w="1080"/>
            <w:tcBorders>
              <w:bottom w:val="single" w:sz="18" w:color="000000"/>
            </w:tcBorders>
          </w:tcPr>
          <w:p>
            <w:pPr>
              <w:jc w:val="center"/>
            </w:pPr>
            <w:r>
              <w:t>0.4 (0.4–0.8)</w:t>
            </w:r>
          </w:p>
        </w:tc>
        <w:tc>
          <w:tcPr>
            <w:tcW w:type="dxa" w:w="1080"/>
            <w:tcBorders>
              <w:bottom w:val="single" w:sz="18" w:color="000000"/>
            </w:tcBorders>
          </w:tcPr>
          <w:p>
            <w:pPr>
              <w:jc w:val="center"/>
            </w:pPr>
            <w:r>
              <w:t>2.8 (0.4–13.9)</w:t>
            </w:r>
          </w:p>
        </w:tc>
        <w:tc>
          <w:tcPr>
            <w:tcW w:type="dxa" w:w="1080"/>
            <w:tcBorders>
              <w:bottom w:val="single" w:sz="18" w:color="000000"/>
            </w:tcBorders>
          </w:tcPr>
          <w:p>
            <w:pPr>
              <w:jc w:val="center"/>
            </w:pPr>
            <w:r>
              <w:t>0.4 (0.4–1.2)</w:t>
            </w:r>
          </w:p>
        </w:tc>
        <w:tc>
          <w:tcPr>
            <w:tcW w:type="dxa" w:w="1080"/>
            <w:tcBorders>
              <w:bottom w:val="single" w:sz="18" w:color="000000"/>
            </w:tcBorders>
          </w:tcPr>
          <w:p>
            <w:pPr>
              <w:jc w:val="center"/>
            </w:pPr>
            <w:r>
              <w:t>850</w:t>
            </w:r>
          </w:p>
        </w:tc>
        <w:tc>
          <w:tcPr>
            <w:tcW w:type="dxa" w:w="1080"/>
            <w:tcBorders>
              <w:bottom w:val="single" w:sz="18" w:color="000000"/>
            </w:tcBorders>
          </w:tcPr>
          <w:p>
            <w:pPr>
              <w:jc w:val="center"/>
            </w:pPr>
            <w:r>
              <w:t>&lt;0.001</w:t>
            </w:r>
          </w:p>
        </w:tc>
        <w:tc>
          <w:tcPr>
            <w:tcW w:type="dxa" w:w="1080"/>
            <w:tcBorders>
              <w:bottom w:val="single" w:sz="18" w:color="000000"/>
            </w:tcBorders>
          </w:tcPr>
          <w:p>
            <w:pPr>
              <w:jc w:val="center"/>
            </w:pPr>
            <w:r>
              <w:t>0.076</w:t>
            </w:r>
          </w:p>
        </w:tc>
      </w:tr>
    </w:tbl>
    <w:p>
      <w:r>
        <w:rPr>
          <w:sz w:val="16"/>
        </w:rPr>
        <w:t>连续变量以中位数（四分位距）表示，采用 Kruskal-Wallis 检验，效应量为 epsilon²；分类变量以 n（%）表示，采用 Pearson 卡方检验，效应量为 Cramér's V。</w:t>
      </w:r>
    </w:p>
    <w:p>
      <w:r>
        <w:rPr>
          <w:sz w:val="16"/>
        </w:rPr>
        <w:t>期望频数不足 5 的变量改用蒙特卡洛置换检验（10000 次重抽样）：圆球状钝物、水银或体温计、呕血或黑便、吞咽困难或流涎、腹胀、腹膜刺激征、食管、胃、十二指肠、小肠</w:t>
      </w:r>
    </w:p>
    <w:p>
      <w:r>
        <w:rPr>
          <w:sz w:val="16"/>
        </w:rPr>
        <w:t>「缺失」列为该变量的缺失例数；空白表示无缺失。</w:t>
      </w:r>
    </w:p>
    <w:p>
      <w:r>
        <w:rPr>
          <w:sz w:val="16"/>
        </w:rPr>
        <w:t>仅纳入治疗决策时点之前可获得的变量。影像与实验室结果已按时相过滤，拍摄或报告晚于手术开始者不予纳入。</w:t>
      </w:r>
    </w:p>
    <w:p>
      <w:r>
        <w:rPr>
          <w:sz w:val="16"/>
        </w:rPr>
        <w:t>C 反应蛋白缺失 68.7% 且缺失与治疗方式相关（内镜组 85.0% 缺失），故列于此仅作描述，未纳入预测模型。</w:t>
      </w:r>
    </w:p>
    <w:p>
      <w:r>
        <w:rPr>
          <w:sz w:val="16"/>
        </w:rPr>
        <w:t>P 值为描述性比较，未针对多重检验作校正。</w:t>
      </w:r>
    </w:p>
    <w:p/>
    <w:p>
      <w:r>
        <w:rPr>
          <w:b/>
          <w:sz w:val="21"/>
        </w:rPr>
        <w:t>Table 2　三组结局与并发症比较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tcBorders>
              <w:top w:val="single" w:sz="18" w:color="000000"/>
            </w:tcBorders>
            <w:tcBorders>
              <w:bottom w:val="single" w:sz="12" w:color="000000"/>
            </w:tcBorders>
          </w:tcPr>
          <w:p>
            <w:pPr>
              <w:jc w:val="left"/>
            </w:pPr>
            <w:r>
              <w:rPr>
                <w:b/>
              </w:rPr>
              <w:t>变量</w:t>
            </w:r>
          </w:p>
        </w:tc>
        <w:tc>
          <w:tcPr>
            <w:tcW w:type="dxa" w:w="1080"/>
            <w:tcBorders>
              <w:top w:val="single" w:sz="18" w:color="000000"/>
            </w:tcBorders>
            <w:tcBorders>
              <w:bottom w:val="single" w:sz="12" w:color="000000"/>
            </w:tcBorders>
          </w:tcPr>
          <w:p>
            <w:pPr>
              <w:jc w:val="center"/>
            </w:pPr>
            <w:r>
              <w:rPr>
                <w:b/>
              </w:rPr>
              <w:t>观察</w:t>
            </w:r>
          </w:p>
        </w:tc>
        <w:tc>
          <w:tcPr>
            <w:tcW w:type="dxa" w:w="1080"/>
            <w:tcBorders>
              <w:top w:val="single" w:sz="18" w:color="000000"/>
            </w:tcBorders>
            <w:tcBorders>
              <w:bottom w:val="single" w:sz="12" w:color="000000"/>
            </w:tcBorders>
          </w:tcPr>
          <w:p>
            <w:pPr>
              <w:jc w:val="center"/>
            </w:pPr>
            <w:r>
              <w:rPr>
                <w:b/>
              </w:rPr>
              <w:t>内镜</w:t>
            </w:r>
          </w:p>
        </w:tc>
        <w:tc>
          <w:tcPr>
            <w:tcW w:type="dxa" w:w="1080"/>
            <w:tcBorders>
              <w:top w:val="single" w:sz="18" w:color="000000"/>
            </w:tcBorders>
            <w:tcBorders>
              <w:bottom w:val="single" w:sz="12" w:color="000000"/>
            </w:tcBorders>
          </w:tcPr>
          <w:p>
            <w:pPr>
              <w:jc w:val="center"/>
            </w:pPr>
            <w:r>
              <w:rPr>
                <w:b/>
              </w:rPr>
              <w:t>手术</w:t>
            </w:r>
          </w:p>
        </w:tc>
        <w:tc>
          <w:tcPr>
            <w:tcW w:type="dxa" w:w="1080"/>
            <w:tcBorders>
              <w:top w:val="single" w:sz="18" w:color="000000"/>
            </w:tcBorders>
            <w:tcBorders>
              <w:bottom w:val="single" w:sz="12" w:color="000000"/>
            </w:tcBorders>
          </w:tcPr>
          <w:p>
            <w:pPr>
              <w:jc w:val="center"/>
            </w:pPr>
            <w:r>
              <w:rPr>
                <w:b/>
              </w:rPr>
              <w:t>合计</w:t>
            </w:r>
          </w:p>
        </w:tc>
        <w:tc>
          <w:tcPr>
            <w:tcW w:type="dxa" w:w="1080"/>
            <w:tcBorders>
              <w:top w:val="single" w:sz="18" w:color="000000"/>
            </w:tcBorders>
            <w:tcBorders>
              <w:bottom w:val="single" w:sz="12" w:color="000000"/>
            </w:tcBorders>
          </w:tcPr>
          <w:p>
            <w:pPr>
              <w:jc w:val="center"/>
            </w:pPr>
            <w:r>
              <w:rPr>
                <w:b/>
              </w:rPr>
              <w:t>缺失</w:t>
            </w:r>
          </w:p>
        </w:tc>
        <w:tc>
          <w:tcPr>
            <w:tcW w:type="dxa" w:w="1080"/>
            <w:tcBorders>
              <w:top w:val="single" w:sz="18" w:color="000000"/>
            </w:tcBorders>
            <w:tcBorders>
              <w:bottom w:val="single" w:sz="12" w:color="000000"/>
            </w:tcBorders>
          </w:tcPr>
          <w:p>
            <w:pPr>
              <w:jc w:val="center"/>
            </w:pPr>
            <w:r>
              <w:rPr>
                <w:b/>
              </w:rPr>
              <w:t>P 值</w:t>
            </w:r>
          </w:p>
        </w:tc>
        <w:tc>
          <w:tcPr>
            <w:tcW w:type="dxa" w:w="1080"/>
            <w:tcBorders>
              <w:top w:val="single" w:sz="18" w:color="000000"/>
            </w:tcBorders>
            <w:tcBorders>
              <w:bottom w:val="single" w:sz="12" w:color="000000"/>
            </w:tcBorders>
          </w:tcPr>
          <w:p>
            <w:pPr>
              <w:jc w:val="center"/>
            </w:pPr>
            <w:r>
              <w:rPr>
                <w:b/>
              </w:rPr>
              <w:t>效应量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>
              <w:t>例数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583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520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135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1238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</w:tr>
      <w:tr>
        <w:tc>
          <w:tcPr>
            <w:tcW w:type="dxa" w:w="1080"/>
          </w:tcPr>
          <w:p>
            <w:pPr>
              <w:jc w:val="left"/>
            </w:pPr>
            <w:r>
              <w:t>穿孔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 (0.0)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 (0.4)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76 (56.3)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78 (6.3)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>
              <w:t>&lt;0.001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0.720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>
              <w:t>肠梗阻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6 (1.0)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 (0.2)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33 (24.4)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40 (3.2)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>
              <w:t>&lt;0.001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0.420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>
              <w:t>腹膜炎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 (0.3)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 (0.0)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31 (23.0)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33 (2.7)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>
              <w:t>&lt;0.001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0.441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>
              <w:t>消化道瘘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 (0.0)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 (0.2)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 (2.2)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 (0.3)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>
              <w:t>0.002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0.118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>
              <w:t>脓毒症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 (0.3)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 (0.0)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11 (8.1)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13 (1.1)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>
              <w:t>&lt;0.001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0.244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>
              <w:t>狭窄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 (0.2)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 (0.6)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 (0.0)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 (0.3)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>
              <w:t>0.363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0.039</w:t>
            </w:r>
          </w:p>
        </w:tc>
      </w:tr>
      <w:tr>
        <w:tc>
          <w:tcPr>
            <w:tcW w:type="dxa" w:w="1080"/>
            <w:tcBorders>
              <w:bottom w:val="single" w:sz="18" w:color="000000"/>
            </w:tcBorders>
          </w:tcPr>
          <w:p>
            <w:pPr>
              <w:jc w:val="left"/>
            </w:pPr>
            <w:r>
              <w:t>住院天数</w:t>
            </w:r>
          </w:p>
        </w:tc>
        <w:tc>
          <w:tcPr>
            <w:tcW w:type="dxa" w:w="1080"/>
            <w:tcBorders>
              <w:bottom w:val="single" w:sz="18" w:color="000000"/>
            </w:tcBorders>
          </w:tcPr>
          <w:p>
            <w:pPr>
              <w:jc w:val="center"/>
            </w:pPr>
            <w:r>
              <w:t>2.0 (1.0–2.0)</w:t>
            </w:r>
          </w:p>
        </w:tc>
        <w:tc>
          <w:tcPr>
            <w:tcW w:type="dxa" w:w="1080"/>
            <w:tcBorders>
              <w:bottom w:val="single" w:sz="18" w:color="000000"/>
            </w:tcBorders>
          </w:tcPr>
          <w:p>
            <w:pPr>
              <w:jc w:val="center"/>
            </w:pPr>
            <w:r>
              <w:t>2.0 (1.0–2.0)</w:t>
            </w:r>
          </w:p>
        </w:tc>
        <w:tc>
          <w:tcPr>
            <w:tcW w:type="dxa" w:w="1080"/>
            <w:tcBorders>
              <w:bottom w:val="single" w:sz="18" w:color="000000"/>
            </w:tcBorders>
          </w:tcPr>
          <w:p>
            <w:pPr>
              <w:jc w:val="center"/>
            </w:pPr>
            <w:r>
              <w:t>9.0 (8.0–13.0)</w:t>
            </w:r>
          </w:p>
        </w:tc>
        <w:tc>
          <w:tcPr>
            <w:tcW w:type="dxa" w:w="1080"/>
            <w:tcBorders>
              <w:bottom w:val="single" w:sz="18" w:color="000000"/>
            </w:tcBorders>
          </w:tcPr>
          <w:p>
            <w:pPr>
              <w:jc w:val="center"/>
            </w:pPr>
            <w:r>
              <w:t>2.0 (1.0–3.0)</w:t>
            </w:r>
          </w:p>
        </w:tc>
        <w:tc>
          <w:tcPr>
            <w:tcW w:type="dxa" w:w="1080"/>
            <w:tcBorders>
              <w:bottom w:val="single" w:sz="18" w:color="000000"/>
            </w:tcBorders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080"/>
            <w:tcBorders>
              <w:bottom w:val="single" w:sz="18" w:color="000000"/>
            </w:tcBorders>
          </w:tcPr>
          <w:p>
            <w:pPr>
              <w:jc w:val="center"/>
            </w:pPr>
            <w:r>
              <w:t>&lt;0.001</w:t>
            </w:r>
          </w:p>
        </w:tc>
        <w:tc>
          <w:tcPr>
            <w:tcW w:type="dxa" w:w="1080"/>
            <w:tcBorders>
              <w:bottom w:val="single" w:sz="18" w:color="000000"/>
            </w:tcBorders>
          </w:tcPr>
          <w:p>
            <w:pPr>
              <w:jc w:val="center"/>
            </w:pPr>
            <w:r>
              <w:t>0.292</w:t>
            </w:r>
          </w:p>
        </w:tc>
      </w:tr>
    </w:tbl>
    <w:p>
      <w:r>
        <w:rPr>
          <w:sz w:val="16"/>
        </w:rPr>
        <w:t>结局与并发症为治疗后信息，不属于基线特征，仅用于描述与标签校验，未进入预测模型。</w:t>
      </w:r>
    </w:p>
    <w:p>
      <w:r>
        <w:rPr>
          <w:sz w:val="16"/>
        </w:rPr>
        <w:t>期望频数不足 5 的变量改用蒙特卡洛置换检验（10000 次重抽样）：肠梗阻、腹膜炎、消化道瘘、脓毒症、狭窄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