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w:t>
      </w:r>
    </w:p>
    <w:p>
      <w:pPr>
        <w:spacing w:after="80"/>
      </w:pPr>
      <w:r>
        <w:rPr>
          <w:b w:val="0"/>
          <w:i w:val="0"/>
          <w:sz w:val="24"/>
        </w:rPr>
        <w:t>【TODO: 校准结果——逐类校准斜率与截距、校准曲线（Fig 4）】</w:t>
      </w:r>
    </w:p>
    <w:p>
      <w:pPr>
        <w:spacing w:after="80"/>
      </w:pPr>
      <w:r>
        <w:rPr>
          <w:b w:val="0"/>
          <w:i w:val="0"/>
          <w:sz w:val="24"/>
        </w:rPr>
        <w:t>【TODO: 决策曲线分析结果——各类别在临床相关阈值区间的净获益（Fig 5）】</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【TODO】</w:t>
      </w:r>
    </w:p>
    <w:p>
      <w:pPr>
        <w:spacing w:after="40"/>
      </w:pPr>
      <w:r>
        <w:rPr>
          <w:b w:val="0"/>
          <w:i w:val="0"/>
          <w:sz w:val="24"/>
        </w:rPr>
        <w:t>Fig 2. 【TODO: 见方案 §七「重复图表风险」——若磁性异物论文已用过同类趋势图，本文改画三种治疗方式的逐年构成比，或舍弃】</w:t>
      </w:r>
    </w:p>
    <w:p>
      <w:pPr>
        <w:spacing w:after="40"/>
      </w:pPr>
      <w:r>
        <w:rPr>
          <w:b w:val="0"/>
          <w:i w:val="0"/>
          <w:sz w:val="24"/>
        </w:rPr>
        <w:t>Fig 3. Sankey diagram: object type to location to management to outcome. 【TODO】</w:t>
      </w:r>
    </w:p>
    <w:p>
      <w:pPr>
        <w:spacing w:after="40"/>
      </w:pPr>
      <w:r>
        <w:rPr>
          <w:b w:val="0"/>
          <w:i w:val="0"/>
          <w:sz w:val="24"/>
        </w:rPr>
        <w:t>Fig 4. Receiver operating characteristic curves, one-versus-rest, development and temporal validation. 【TODO】</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