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Degree of rotation and duration of symptoms are independently associated with bowel compromise in children operated for acute midgut volvulus</w:t>
      </w:r>
    </w:p>
    <w:p>
      <w:r>
        <w:rPr>
          <w:b/>
        </w:rPr>
        <w:t>Running head:</w:t>
      </w:r>
      <w:r>
        <w:t xml:space="preserve"> Rotation, duration and bowel compromise</w:t>
      </w:r>
    </w:p>
    <w:p>
      <w:r>
        <w:rPr>
          <w:b/>
        </w:rPr>
        <w:t>Authors</w:t>
      </w:r>
    </w:p>
    <w:p>
      <w:pPr>
        <w:pStyle w:val="ListBullet"/>
      </w:pPr>
      <w:r>
        <w:t>Jun Shu, MMed, Attending Physician. Department of General Surgery, Wuhan Children’s Hospital (Wuhan Maternal and Child Healthcare Hospital), Tongji Medical College, Huazhong University of Science &amp; Technology, Wuhan 430016, Hubei Province, China</w:t>
      </w:r>
    </w:p>
    <w:p>
      <w:pPr>
        <w:pStyle w:val="ListBullet"/>
      </w:pPr>
      <w:r>
        <w:t>Hongqiang Bian, MMed, Chief Physician. Department of General Surgery, Wuhan Children’s Hospital (Wuhan Maternal and Child Healthcare Hospital), Tongji Medical College, Huazhong University of Science &amp; Technology, Wuhan 430016, Hubei Province, China</w:t>
      </w:r>
    </w:p>
    <w:p>
      <w:pPr>
        <w:pStyle w:val="ListBullet"/>
      </w:pPr>
      <w:r>
        <w:t>Jun Yang, MD, Chief Physician. Department of General Surgery, Wuhan Children’s Hospital (Wuhan Maternal and Child Healthcare Hospital), Tongji Medical College, Huazhong University of Science &amp; Technology, Wuhan 430016, Hubei Province, China</w:t>
      </w:r>
    </w:p>
    <w:p>
      <w:r>
        <w:rPr>
          <w:b/>
        </w:rPr>
        <w:t>Corresponding author</w:t>
      </w:r>
      <w:r>
        <w:t xml:space="preserve"> Jun Yang, MD, Chief Physician, Department of General Surgery, Wuhan Children’s Hospital (Wuhan Maternal and Child Healthcare Hospital), Tongji Medical College, Huazhong University of Science &amp; Technology, Wuhan 430016, Hubei Province, China. Telephone: +86 18627139911. E-mail: yjun201602@163.com</w:t>
      </w:r>
    </w:p>
    <w:p>
      <w:r>
        <w:rPr>
          <w:b/>
        </w:rPr>
        <w:t>ORCID</w:t>
      </w:r>
      <w:r>
        <w:t xml:space="preserve"> Jun Yang https://orcid.org/0009-0006-0669-4340</w:t>
      </w:r>
    </w:p>
    <w:p>
      <w:r>
        <w:br w:type="page"/>
      </w:r>
    </w:p>
    <w:p>
      <w:pPr>
        <w:pStyle w:val="Heading1"/>
      </w:pPr>
      <w:r>
        <w:rPr>
          <w:rFonts w:ascii="Times New Roman" w:hAnsi="Times New Roman"/>
          <w:color w:val="000000"/>
        </w:rPr>
        <w:t>Abstract</w:t>
      </w:r>
    </w:p>
    <w:p>
      <w:r>
        <w:rPr>
          <w:b/>
        </w:rPr>
        <w:t>Introduction</w:t>
      </w:r>
      <w:r>
        <w:t xml:space="preserve"> In midgut volvulus, outcome depends on whether the bowel is viable at laparotomy. We examined two quantities that plausibly determine it: how tightly the midgut is twisted, and for how long.</w:t>
      </w:r>
    </w:p>
    <w:p>
      <w:r>
        <w:rPr>
          <w:b/>
        </w:rPr>
        <w:t>Materials and Methods</w:t>
      </w:r>
      <w:r>
        <w:t xml:space="preserve"> Retrospective single-center cohort, December 2012–June 2026. From 414 index operations for intestinal malrotation we defined an acute midgut volvulus population: volvulus confirmed at operation, current episode ≤7 days, malrotation not incidental to other surgery. Bowel compromise was adjudicated from operative notes against a pre-specified manual; duration from the chief complaint. Firth penalized logistic regression with bootstrap internal validation.</w:t>
      </w:r>
    </w:p>
    <w:p>
      <w:r>
        <w:rPr>
          <w:b/>
        </w:rPr>
        <w:t>Results</w:t>
      </w:r>
      <w:r>
        <w:t xml:space="preserve"> Of 287 children, 63 (22.0%) had bowel compromise, 19 (6.6%) necrosis. Compromise rose monotonically with rotation (0/15 below 360° to 3/3 at ≥1080°; P &lt; 0.001) and fell with symptom duration (52.6% at ≤12 h to 2.4% at 120–168 h). Both were independent: per 90° rotation OR 1.66 (95% CI 1.41–1.97), per doubling of duration OR 0.59 (0.45–0.77); AUC 0.813 (0.749–0.876), 0.801 after optimism correction. They were uncorrelated, with no interaction detected (OR 1.02, 0.89–1.17). In 174 children with complete data, C-reactive protein and neutrophil count improved model fit (likelihood ratio P = 0.005) but changed discrimination little (ΔAUC +0.017); neither association remained detectable after excluding same-day specimens (17 events; P = 0.818).</w:t>
      </w:r>
    </w:p>
    <w:p>
      <w:r>
        <w:rPr>
          <w:b/>
        </w:rPr>
        <w:t>Conclusions</w:t>
      </w:r>
      <w:r>
        <w:t xml:space="preserve"> In acute midgut volvulus, tighter rotation and </w:t>
      </w:r>
      <w:r>
        <w:rPr>
          <w:i/>
        </w:rPr>
        <w:t>shorter</w:t>
      </w:r>
      <w:r>
        <w:t xml:space="preserve"> duration are each independently associated with bowel compromise. A short history should not reassure: it more likely reflects a complete, strangulating twist than a safe interval. Neither marker could be shown to contribute preoperatively.</w:t>
      </w:r>
    </w:p>
    <w:p>
      <w:r>
        <w:rPr>
          <w:b/>
        </w:rPr>
        <w:t>Keywords</w:t>
      </w:r>
      <w:r>
        <w:t xml:space="preserve"> Intestinal malrotation · Midgut volvulus · Bowel ischemia · Symptom duration · Risk stratification</w:t>
      </w:r>
    </w:p>
    <w:p>
      <w:pPr>
        <w:pStyle w:val="Heading1"/>
      </w:pPr>
      <w:r>
        <w:rPr>
          <w:rFonts w:ascii="Times New Roman" w:hAnsi="Times New Roman"/>
          <w:color w:val="000000"/>
        </w:rPr>
        <w:t>Introduction</w:t>
      </w:r>
    </w:p>
    <w:p>
      <w:r>
        <w:t>Midgut volvulus is a surgical emergency of infancy in which the entire midgut may rapidly become ischemic</w:t>
      </w:r>
      <w:r>
        <w:rPr>
          <w:vertAlign w:val="superscript"/>
        </w:rPr>
        <w:t xml:space="preserve">1</w:t>
      </w:r>
      <w:r>
        <w:t>; volvulus is far rarer, and differently distributed, in adults.</w:t>
      </w:r>
      <w:r>
        <w:rPr>
          <w:vertAlign w:val="superscript"/>
        </w:rPr>
        <w:t xml:space="preserve">2</w:t>
      </w:r>
      <w:r>
        <w:t xml:space="preserve"> Prognosis is determined less by the malrotation itself than by whether the bowel remains viable at laparotomy: bowel salvaged after detorsion generally does well, whereas extensive resection leads to short bowel syndrome, long-term parenteral nutrition dependence and substantial mortality.</w:t>
      </w:r>
      <w:r>
        <w:rPr>
          <w:vertAlign w:val="superscript"/>
        </w:rPr>
        <w:t xml:space="preserve">3,4</w:t>
      </w:r>
    </w:p>
    <w:p>
      <w:r>
        <w:t>Because the presentation is non-specific (bilious vomiting, distension, irritability), the severity of what will be found at operation is difficult to anticipate,</w:t>
      </w:r>
      <w:r>
        <w:rPr>
          <w:vertAlign w:val="superscript"/>
        </w:rPr>
        <w:t xml:space="preserve">1</w:t>
      </w:r>
      <w:r>
        <w:t xml:space="preserve"> and imaging establishes whether malrotation is present without grading the viability of the bowel.</w:t>
      </w:r>
      <w:r>
        <w:rPr>
          <w:vertAlign w:val="superscript"/>
        </w:rPr>
        <w:t xml:space="preserve">1,5</w:t>
      </w:r>
    </w:p>
    <w:p>
      <w:r>
        <w:t>Two quantities could plausibly determine what the surgeon finds: how tightly the midgut is twisted, the degree of rotation about the superior mesenteric axis that surgeons routinely record, and how long it has been twisted, which the history provides. Neither has been established.</w:t>
      </w:r>
    </w:p>
    <w:p>
      <w:r>
        <w:t>For the degree of rotation the literature disagrees. Three small series addressed it directly: two reported no association, one using the number of turns recorded at operation in 29 children</w:t>
      </w:r>
      <w:r>
        <w:rPr>
          <w:vertAlign w:val="superscript"/>
        </w:rPr>
        <w:t xml:space="preserve">6</w:t>
      </w:r>
      <w:r>
        <w:t xml:space="preserve"> and the other the degree recorded at operation in 21,</w:t>
      </w:r>
      <w:r>
        <w:rPr>
          <w:vertAlign w:val="superscript"/>
        </w:rPr>
        <w:t xml:space="preserve">7</w:t>
      </w:r>
      <w:r>
        <w:t xml:space="preserve"> while a third, this one sonographic, found a greater twist in ischemic bowel among 31 children.</w:t>
      </w:r>
      <w:r>
        <w:rPr>
          <w:vertAlign w:val="superscript"/>
        </w:rPr>
        <w:t xml:space="preserve">8</w:t>
      </w:r>
      <w:r>
        <w:t xml:space="preserve"> None that analyzed the association contained more than eleven events. A Chinese CT series argued that the angle does not track clinical severity or prognosis, although it tested no association and its own estimate agreed with the operative finding in 35.2% of cases.</w:t>
      </w:r>
      <w:r>
        <w:rPr>
          <w:vertAlign w:val="superscript"/>
        </w:rPr>
        <w:t xml:space="preserve">9</w:t>
      </w:r>
      <w:r>
        <w:t xml:space="preserve"> A Chinese sonographic series of 130 children with 60 ischemic bowels took the opposite view, that ischemia follows the tightness of the twist, but likewise tested nothing, doubting only the sonographic estimate itself, which agreed with operation in 55.7%.</w:t>
      </w:r>
      <w:r>
        <w:rPr>
          <w:vertAlign w:val="superscript"/>
        </w:rPr>
        <w:t xml:space="preserve">10</w:t>
      </w:r>
      <w:r>
        <w:t xml:space="preserve"> Two further reports gave the range or the distribution of rotation without analyzing it against outcome.</w:t>
      </w:r>
      <w:r>
        <w:rPr>
          <w:vertAlign w:val="superscript"/>
        </w:rPr>
        <w:t xml:space="preserve">11,12</w:t>
      </w:r>
    </w:p>
    <w:p>
      <w:r>
        <w:t>A second problem runs through this literature and through routine institutional series, including our own earlier analysis of these data. Cohorts assembled by searching for "malrotation" mix acute midgut volvulus with chronic or intermittent symptoms and with malrotation found incidentally during surgery for another anomaly, groups differing several-fold in the frequency of bowel compromise. Pooling them makes any exposure–outcome estimate hard to interpret, and preoperative laboratory values hardest of all, since whether a test is ordered depends on the clinical picture.</w:t>
      </w:r>
    </w:p>
    <w:p>
      <w:r>
        <w:t>For the duration of symptoms, one series reported that the interval from onset to operation was markedly shorter in neonates found to have ischemic or necrotic bowel,</w:t>
      </w:r>
      <w:r>
        <w:rPr>
          <w:vertAlign w:val="superscript"/>
        </w:rPr>
        <w:t xml:space="preserve">13</w:t>
      </w:r>
      <w:r>
        <w:t xml:space="preserve"> but as one variable among many rather than as the subject of the analysis. We found no series examining duration as an exposure in its own right, although it is among the few determinants of ischemic injury the clinician can assess before opening the abdomen.</w:t>
      </w:r>
    </w:p>
    <w:p>
      <w:r>
        <w:t>We therefore restricted analysis to children operated for acute midgut volvulus and asked whether the degree of rotation is graded with bowel compromise within that clinically coherent population and whether the duration of the presenting illness carries independent information. Serum inflammatory markers, which rise with the acute-phase response</w:t>
      </w:r>
      <w:r>
        <w:rPr>
          <w:vertAlign w:val="superscript"/>
        </w:rPr>
        <w:t xml:space="preserve">14</w:t>
      </w:r>
      <w:r>
        <w:t xml:space="preserve"> and have been examined as predictors of bowel compromise in strangulating obstruction,</w:t>
      </w:r>
      <w:r>
        <w:rPr>
          <w:vertAlign w:val="superscript"/>
        </w:rPr>
        <w:t xml:space="preserve">15</w:t>
      </w:r>
      <w:r>
        <w:t xml:space="preserve"> were a secondary question, since the two published pediatric models drew on 108 and 103 patients and reported discrimination that invites caution at that sample size.</w:t>
      </w:r>
      <w:r>
        <w:rPr>
          <w:vertAlign w:val="superscript"/>
        </w:rPr>
        <w:t xml:space="preserve">13,16</w:t>
      </w:r>
    </w:p>
    <w:p>
      <w:pPr>
        <w:pStyle w:val="Heading1"/>
      </w:pPr>
      <w:r>
        <w:rPr>
          <w:rFonts w:ascii="Times New Roman" w:hAnsi="Times New Roman"/>
          <w:color w:val="000000"/>
        </w:rPr>
        <w:t>Materials and methods</w:t>
      </w:r>
    </w:p>
    <w:p>
      <w:pPr>
        <w:pStyle w:val="Heading2"/>
      </w:pPr>
      <w:r>
        <w:rPr>
          <w:rFonts w:ascii="Times New Roman" w:hAnsi="Times New Roman"/>
          <w:color w:val="000000"/>
        </w:rPr>
        <w:t>Setting and source cohort</w:t>
      </w:r>
    </w:p>
    <w:p>
      <w:r>
        <w:t>The study was approved by the Ethics Committee of Wuhan Children's Hospital (approval number 2026R018-E01), which waived individual informed consent because the study was retrospective and used de-identified data, and was conducted in accordance with the Declaration of Helsinki.</w:t>
      </w:r>
    </w:p>
    <w:p>
      <w:r>
        <w:t>We retrospectively studied all children who underwent an operation for intestinal malrotation at this hospital between 29 December 2012 and 26 June 2026, identified from its electronic database by diagnosis and procedure codes. The unit of analysis was the index operation, the earliest recorded for that child within the study period; records whose operative note indicated an earlier abdominal operation elsewhere or before the study period were excluded as not true index operations (n = 10).</w:t>
      </w:r>
    </w:p>
    <w:p>
      <w:r>
        <w:t xml:space="preserve">The database contained 711 children, of whom 499 underwent an operation. The remaining 212 were admitted without surgery; since the reference standard is the operative finding, they could not be assigned an outcome. Eighty-five index operations were excluded: for a condition that can independently cause bowel necrosis or a marked systemic inflammatory response (necrotizing enterocolitis, intestinal atresia, meconium peritonitis, gastric perforation with peritonitis), because the operation did not confirm malrotation or volvulus, because records were insufficient, or for another documented reason. This left </w:t>
      </w:r>
      <w:r>
        <w:rPr>
          <w:b/>
        </w:rPr>
        <w:t>414 index operations</w:t>
      </w:r>
      <w:r>
        <w:t xml:space="preserve"> as the source cohort (Fig. 1).</w:t>
      </w:r>
    </w:p>
    <w:p>
      <w:pPr>
        <w:pStyle w:val="Heading2"/>
      </w:pPr>
      <w:r>
        <w:rPr>
          <w:rFonts w:ascii="Times New Roman" w:hAnsi="Times New Roman"/>
          <w:color w:val="000000"/>
        </w:rPr>
        <w:t>Definition of the analysis population</w:t>
      </w:r>
    </w:p>
    <w:p>
      <w:r>
        <w:t xml:space="preserve">The source cohort is heterogeneous by design and is reported in full (Table 1). Before any exposure–outcome modeling of the restricted set, the analysis population was restricted to children with </w:t>
      </w:r>
      <w:r>
        <w:rPr>
          <w:b/>
        </w:rPr>
        <w:t>acute midgut volvulus</w:t>
      </w:r>
      <w:r>
        <w:t>, defined by three criteria:</w:t>
      </w:r>
    </w:p>
    <w:p>
      <w:r>
        <w:t xml:space="preserve">1. </w:t>
      </w:r>
      <w:r>
        <w:rPr>
          <w:b/>
        </w:rPr>
        <w:t>Volvulus confirmed at operation</w:t>
      </w:r>
      <w:r>
        <w:t>: a rotation greater than 0° recorded in the operative note, excluding malrotation without volvulus, in whom volvulus-related ischemia cannot occur.</w:t>
      </w:r>
    </w:p>
    <w:p>
      <w:r>
        <w:t xml:space="preserve">2. </w:t>
      </w:r>
      <w:r>
        <w:rPr>
          <w:b/>
        </w:rPr>
        <w:t>Acute presentation</w:t>
      </w:r>
      <w:r>
        <w:t>: duration of the current symptom episode ≤ 7 days.</w:t>
      </w:r>
    </w:p>
    <w:p>
      <w:r>
        <w:t xml:space="preserve">3. </w:t>
      </w:r>
      <w:r>
        <w:rPr>
          <w:b/>
        </w:rPr>
        <w:t>Malrotation not incidental</w:t>
      </w:r>
      <w:r>
        <w:t>: the operation was not performed primarily for another anomaly (gastroschisis, omphalocele, congenital diaphragmatic hernia, hiatal hernia) with malrotation found during that procedure.</w:t>
      </w:r>
    </w:p>
    <w:p>
      <w:r>
        <w:t xml:space="preserve">This yielded </w:t>
      </w:r>
      <w:r>
        <w:rPr>
          <w:b/>
        </w:rPr>
        <w:t>287 children</w:t>
      </w:r>
      <w:r>
        <w:t xml:space="preserve"> (Fig. 1). The full 414 and intermediate definitions are reported as sensitivity analyses.</w:t>
      </w:r>
    </w:p>
    <w:p>
      <w:pPr>
        <w:pStyle w:val="Heading2"/>
      </w:pPr>
      <w:r>
        <w:rPr>
          <w:rFonts w:ascii="Times New Roman" w:hAnsi="Times New Roman"/>
          <w:color w:val="000000"/>
        </w:rPr>
        <w:t>Clinical context variables</w:t>
      </w:r>
    </w:p>
    <w:p>
      <w:r>
        <w:t>Two variables were newly abstracted for this analysis from the admission record, which was available for all 414 children.</w:t>
      </w:r>
    </w:p>
    <w:p>
      <w:r>
        <w:rPr>
          <w:b/>
        </w:rPr>
        <w:t>Duration of symptoms.</w:t>
      </w:r>
      <w:r>
        <w:t xml:space="preserve"> The admission chief complaint states the presenting symptoms and their duration ("bilious vomiting for 2 days"); durations were parsed to hours. Where the complaint described a chronic course with an acute exacerbation ("intermittent vomiting for 3 years, recurrence for 1 week"), the </w:t>
      </w:r>
      <w:r>
        <w:rPr>
          <w:i/>
        </w:rPr>
        <w:t>current episode</w:t>
      </w:r>
      <w:r>
        <w:t xml:space="preserve"> was taken, being the interval over which the present volvulus could have compromised the bowel; the total history was retained separately for sensitivity analysis. Duration was parsable in 413 of 414 records (99.8%); the numeral, unit and pivot-word rules are in Supplementary Methods S2.</w:t>
      </w:r>
    </w:p>
    <w:p>
      <w:r>
        <w:rPr>
          <w:b/>
        </w:rPr>
        <w:t>Interval from admission to operation.</w:t>
      </w:r>
      <w:r>
        <w:t xml:space="preserve"> The dates of admission and of the index operation were recorded for every child, so this interval was always available; operative records carry no time of day, so it could be expressed only in whole days. It is reported as clinical context, not used as a predictor.</w:t>
      </w:r>
    </w:p>
    <w:p>
      <w:r>
        <w:rPr>
          <w:b/>
        </w:rPr>
        <w:t>Indication for operation.</w:t>
      </w:r>
      <w:r>
        <w:t xml:space="preserve"> Each child was classified from the admission diagnosis, chief complaint and operative record into five mutually exclusive groups: preoperative suspicion of volvulus; acute obstructive presentation without documented suspicion; known or suspected malrotation operated non-acutely; non-specific symptoms investigated and found to have malrotation; and operation performed primarily for another anomaly. It is reported descriptively, not used as a covariate.</w:t>
      </w:r>
    </w:p>
    <w:p>
      <w:r>
        <w:t>Presenting features (bilious vomiting, bloody stool, abdominal distension) were abstracted from the chief complaint and history of present illness. Because Chinese admission notes list negative findings as a matter of routine, often as coordinated lists, keyword matching alone classifies a denial as a positive; each feature was therefore classified as recorded present, explicitly denied or not described, by negation scoping with pseudo-negations neutralized beforehand (Supplementary Methods S3). Every explicit denial was read individually. Physical examination findings were not systematically recorded in extractable form and are not reported.</w:t>
      </w:r>
    </w:p>
    <w:p>
      <w:pPr>
        <w:pStyle w:val="Heading2"/>
      </w:pPr>
      <w:r>
        <w:rPr>
          <w:rFonts w:ascii="Times New Roman" w:hAnsi="Times New Roman"/>
          <w:color w:val="000000"/>
        </w:rPr>
        <w:t>Outcome definition and adjudication</w:t>
      </w:r>
    </w:p>
    <w:p>
      <w:r>
        <w:t xml:space="preserve">The reference standard was the intraoperative finding recorded in the operative note, classified on a three-level scale defined a priori: </w:t>
      </w:r>
      <w:r>
        <w:rPr>
          <w:b/>
        </w:rPr>
        <w:t>0</w:t>
      </w:r>
      <w:r>
        <w:t xml:space="preserve">, normal perfusion; </w:t>
      </w:r>
      <w:r>
        <w:rPr>
          <w:b/>
        </w:rPr>
        <w:t>1</w:t>
      </w:r>
      <w:r>
        <w:t xml:space="preserve">, reversible ischemia (bowel appearing dusky, congested or poorly perfused that recovered after detorsion, warm saline packing or mesenteric block, </w:t>
      </w:r>
      <w:r>
        <w:rPr>
          <w:i/>
        </w:rPr>
        <w:t>without</w:t>
      </w:r>
      <w:r>
        <w:t xml:space="preserve"> resection); </w:t>
      </w:r>
      <w:r>
        <w:rPr>
          <w:b/>
        </w:rPr>
        <w:t>2</w:t>
      </w:r>
      <w:r>
        <w:t xml:space="preserve">, irreversible necrosis (frank necrosis or perforation, or bowel resection/stoma performed for vascular compromise). The </w:t>
      </w:r>
      <w:r>
        <w:rPr>
          <w:b/>
        </w:rPr>
        <w:t>primary outcome</w:t>
      </w:r>
      <w:r>
        <w:t xml:space="preserve"> was bowel compromise (levels 1 or 2 versus 0); the </w:t>
      </w:r>
      <w:r>
        <w:rPr>
          <w:b/>
        </w:rPr>
        <w:t>key secondary outcome</w:t>
      </w:r>
      <w:r>
        <w:t xml:space="preserve"> was irreversible necrosis. A pre-specified manual governed the coding of negated expressions, appendectomy, and resection performed to excise a web, diverticulum or ectopic pancreas (Supplementary Methods S1).</w:t>
      </w:r>
    </w:p>
    <w:p>
      <w:r>
        <w:t xml:space="preserve">Operative notes were first screened by a rule-based text-mining algorithm with negation detection; every unclassifiable record, together with every record classified as necrosis, was reviewed manually by a pediatric surgeon blinded to the laboratory data. On audit, algorithm–manual agreement for the primary-outcome dichotomy was κ = 0.831 with no false-negative necrosis; review was therefore concentrated on algorithm-positive records, the direction in which every observed error lay. With only 14 positive audit records, however, a false-negative rate of up to about one in five cannot be excluded. A second pediatric surgeon blindly re-adjudicated a further sample, giving κ = 0.909 for the primary outcome among the records both reviewers could classify, a value correspondingly optimistic. Sample sizes, three-level agreement and the consensus rule are given in Supplementary Methods S1.</w:t>
      </w:r>
    </w:p>
    <w:p>
      <w:pPr>
        <w:pStyle w:val="Heading2"/>
      </w:pPr>
      <w:r>
        <w:rPr>
          <w:rFonts w:ascii="Times New Roman" w:hAnsi="Times New Roman"/>
          <w:color w:val="000000"/>
        </w:rPr>
        <w:t>Degree of rotation</w:t>
      </w:r>
    </w:p>
    <w:p>
      <w:r>
        <w:t>The degree was abstracted from the operative note, narrative descriptions being converted (one and a half turns = 540°, two turns = 720°). Abstraction was reproducible: two surgeons independently re-reading the double-adjudicated records agreed on the degree in 92 of 96 (95.8%) and agreed on the ≥720° dichotomy in 97.9% (κ = 0.948). Degree was modeled continuously (per 90°) and displayed across pre-specified strata.</w:t>
      </w:r>
    </w:p>
    <w:p>
      <w:pPr>
        <w:pStyle w:val="Heading2"/>
      </w:pPr>
      <w:r>
        <w:rPr>
          <w:rFonts w:ascii="Times New Roman" w:hAnsi="Times New Roman"/>
          <w:color w:val="000000"/>
        </w:rPr>
        <w:t>Preoperative laboratory variables</w:t>
      </w:r>
    </w:p>
    <w:p>
      <w:r>
        <w:t xml:space="preserve">Operative records carried the date but not the time of surgery, so "preoperative" could be defined only on a calendar-day basis and a same-day specimen </w:t>
      </w:r>
      <w:r>
        <w:rPr>
          <w:b/>
        </w:rPr>
        <w:t>cannot be shown, for any individual child, to have preceded the incision</w:t>
      </w:r>
      <w:r>
        <w:t>. The last measurement on or before the day of surgery, within the same admission and within seven days, was used. CRP was analyzed as log2(CRP + 1) because of marked right skew and the absolute neutrophil count (ANC) per 1 × 10⁹/L. Total white cell and lymphocyte counts were unavailable, precluding the composite indices often reported in this literature. CRP was unavailable in 107 of the 287 children (37.3%) and fell outside the seven-day window in a further four, leaving 176 with a usable value; the ANC was unavailable in 17 (5.9%) and outside the window in four more. The marker analyses used complete cases, 174 children having both markers and all covariates. Imputation was not used for the primary marker analyses, because whether a test was ordered depended on the clinical presentation and the missingness cannot be taken to be at random. How far that assumption could matter was examined by a pattern-mixture sensitivity analysis (Supplementary Methods S4).</w:t>
      </w:r>
    </w:p>
    <w:p>
      <w:pPr>
        <w:pStyle w:val="Heading2"/>
      </w:pPr>
      <w:r>
        <w:rPr>
          <w:rFonts w:ascii="Times New Roman" w:hAnsi="Times New Roman"/>
          <w:color w:val="000000"/>
        </w:rPr>
        <w:t>Statistical analysis</w:t>
      </w:r>
    </w:p>
    <w:p>
      <w:r>
        <w:t xml:space="preserve">Continuous variables are reported as median (interquartile range) and compared with the Mann–Whitney U test; categorical variables as n (%) with the χ² or Fisher exact test. All models used </w:t>
      </w:r>
      <w:r>
        <w:rPr>
          <w:b/>
        </w:rPr>
        <w:t>Firth penalized logistic regression</w:t>
      </w:r>
      <w:r>
        <w:t>, which reduces small-sample bias and yields finite estimates under separation,</w:t>
      </w:r>
      <w:r>
        <w:rPr>
          <w:vertAlign w:val="superscript"/>
        </w:rPr>
        <w:t xml:space="preserve">17</w:t>
      </w:r>
      <w:r>
        <w:t xml:space="preserve"> with confidence intervals and P values from the profile penalized likelihood.</w:t>
      </w:r>
    </w:p>
    <w:p>
      <w:r>
        <w:t>The primary model comprised the degree of rotation (per 90°), log2 symptom duration (hours), age and sex, giving four parameters for 63 events and an events-per-parameter ratio of 15.8. The sample also met the minimum-size criteria of Riley et al.</w:t>
      </w:r>
      <w:r>
        <w:rPr>
          <w:vertAlign w:val="superscript"/>
        </w:rPr>
        <w:t xml:space="preserve">18</w:t>
      </w:r>
      <w:r>
        <w:t xml:space="preserve"> for the model actually fitted, using a shrinkage-corrected Cox–Snell R². Discrimination is reported as the AUC with DeLong confidence intervals,</w:t>
      </w:r>
      <w:r>
        <w:rPr>
          <w:vertAlign w:val="superscript"/>
        </w:rPr>
        <w:t xml:space="preserve">19</w:t>
      </w:r>
      <w:r>
        <w:t xml:space="preserve"> calibration as intercept, slope and Brier score; optimism-corrected values were obtained by bootstrap internal validation (1000 resamples) with the Youden cut-point re-selected inside every resample. Linearity on the logit scale was examined by a test of departure from linear trend. Effect modification of the degree effect by duration was tested by a multiplicative interaction term with a likelihood ratio test and by fitting that effect above and below the median duration; trend across degree strata was tested by the Cochran–Armitage test. Because the clinical model and the model containing CRP and ANC are nested, the incremental value of the markers was assessed primarily by a joint penalized likelihood ratio test, with the change in AUC and the integrated discrimination improvement</w:t>
      </w:r>
      <w:r>
        <w:rPr>
          <w:vertAlign w:val="superscript"/>
        </w:rPr>
        <w:t xml:space="preserve">20</w:t>
      </w:r>
      <w:r>
        <w:t xml:space="preserve"> reported alongside; the DeLong test is given for comparability with the literature, not as the basis of inference. Each presenting feature was entered singly into the primary model; these analyses are post hoc and descriptive, and none was retained. The sample-size criteria, the linearity test, the cut-point re-selection and the missing-data sensitivity analysis are set out in Supplementary Methods S6.</w:t>
      </w:r>
    </w:p>
    <w:p>
      <w:r>
        <w:rPr>
          <w:b/>
        </w:rPr>
        <w:t>Relation to the previous analysis plan.</w:t>
      </w:r>
      <w:r>
        <w:t xml:space="preserve"> A statistical analysis plan was finalized on 28 July 2026, before any exposure–outcome analysis, and governed an earlier analysis of the full 414-child cohort in which preoperative inflammatory markers were the exposure of primary interest. The restriction to acute midgut volvulus, the abstraction of symptom duration and indication, and the change of primary exposure to the degree of rotation and duration were introduced </w:t>
      </w:r>
      <w:r>
        <w:rPr>
          <w:b/>
        </w:rPr>
        <w:t>after that plan was finalized and are not pre-specified</w:t>
      </w:r>
      <w:r>
        <w:t>; they are reported here as a substantially revised analysis, with every change entered in the plan's amendment log (Table S4). The findings for the degree of rotation should be read as confirmatory of the earlier pre-specified dose–response analysis and those for duration as new and exploratory. Analyses were performed in Python 3.13 with a fixed random seed (20260728); the dataset was frozen and hashed before analysis. Reporting follows the TRIPOD statement.</w:t>
      </w:r>
      <w:r>
        <w:rPr>
          <w:vertAlign w:val="superscript"/>
        </w:rPr>
        <w:t xml:space="preserve">21</w:t>
      </w:r>
    </w:p>
    <w:p>
      <w:pPr>
        <w:pStyle w:val="Heading1"/>
      </w:pPr>
      <w:r>
        <w:rPr>
          <w:rFonts w:ascii="Times New Roman" w:hAnsi="Times New Roman"/>
          <w:color w:val="000000"/>
        </w:rPr>
        <w:t>Results</w:t>
      </w:r>
    </w:p>
    <w:p>
      <w:pPr>
        <w:pStyle w:val="Heading2"/>
      </w:pPr>
      <w:r>
        <w:rPr>
          <w:rFonts w:ascii="Times New Roman" w:hAnsi="Times New Roman"/>
          <w:color w:val="000000"/>
        </w:rPr>
        <w:t>Source cohort</w:t>
      </w:r>
    </w:p>
    <w:p>
      <w:r>
        <w:t>Of 414 index operations, only 26 (6.3%) were performed with a documented preoperative suspicion of volvulus and 146 (35.3%) with any preoperative mention of malrotation or volvulus; the largest group, 176 children (42.5%), was operated after investigation of non-specific symptoms, and 11 (2.7%) primarily for another anomaly with malrotation found incidentally. Bowel compromise varied more than five-fold across these groups, from 34.6% where volvulus was suspected to 5.9% where known malrotation was operated non-acutely (Table 1).</w:t>
      </w:r>
    </w:p>
    <w:p>
      <w:r>
        <w:t>The duration of the presenting episode spanned three orders of magnitude (median 96 h, IQR 48–168, 90th centile 557 h). Ninety-three children (22.5%) had been symptomatic for more than a week, and bowel compromise fell from 27.9% in those presenting within 48 h to 8.6% in those symptomatic beyond a week. Bowel compromise was far more frequent where bloody stool or abdominal distension had been recorded than where it had not (59.4% and 45.7% against 13.2% and 14.9%; both P &lt; 0.001), but not where bilious vomiting had been recorded (13.7%, against 15.0% where it was explicitly denied and 20.2% where the vomitus was not described; P = 0.143) (Table 1). Keyword matching without negation scoping would have counted 95, 145 and 186 children as positive for bloody stool, distension and bilious vomiting respectively, of which 63, 110 and 20 were explicit denials.</w:t>
      </w:r>
    </w:p>
    <w:p>
      <w:r>
        <w:t xml:space="preserve">Applying the three criteria left </w:t>
      </w:r>
      <w:r>
        <w:rPr>
          <w:b/>
        </w:rPr>
        <w:t>287 children with acute midgut volvulus</w:t>
      </w:r>
      <w:r>
        <w:t xml:space="preserve"> (Fig. 1): 414 less 11 operated primarily for another anomaly, less 37 with no volvulus or no recorded degree, less 79 whose current episode exceeded seven days or could not be dated.</w:t>
      </w:r>
    </w:p>
    <w:p>
      <w:pPr>
        <w:pStyle w:val="Heading2"/>
      </w:pPr>
      <w:r>
        <w:rPr>
          <w:rFonts w:ascii="Times New Roman" w:hAnsi="Times New Roman"/>
          <w:color w:val="000000"/>
        </w:rPr>
        <w:t>Acute midgut volvulus cohort</w:t>
      </w:r>
    </w:p>
    <w:p>
      <w:r>
        <w:t>Bowel compromise was present in 63 of 287 (22.0%) and irreversible necrosis in 19 (6.6%). Baseline characteristics by outcome are given in Table 2. Bloody stool and abdominal distension were each strongly associated with the outcome (compromise 66.7% and 48.3%; adjusted odds ratios 5.95, 2.13–17.74 and 4.96, 1.92–13.11); abstracted by keyword alone the same two features gave 1.51 (0.74–3.02) and 1.12 (0.57–2.17). Bilious vomiting was recorded in 124 children (43.2%), explicitly denied in 9 and not described in 154, with compromise in 16.1%, 22.2% and 26.6% respectively; the contrast lay between children whose vomitus was described and those in whom it was not, rather than between bilious and non-bilious vomiting (recorded versus explicitly denied, P = 0.643). The character of the vomitus went undescribed in 66% of children presenting within 24 h against 46% of those presenting between two and seven days, and the association of recorded bilious vomiting with compromise was 0.55 (0.28–1.07) after adjustment for rotation, duration, age and sex.</w:t>
      </w:r>
    </w:p>
    <w:p>
      <w:pPr>
        <w:pStyle w:val="Heading2"/>
      </w:pPr>
      <w:r>
        <w:rPr>
          <w:rFonts w:ascii="Times New Roman" w:hAnsi="Times New Roman"/>
          <w:color w:val="000000"/>
        </w:rPr>
        <w:t>Rotation and bowel compromise</w:t>
      </w:r>
    </w:p>
    <w:p>
      <w:r>
        <w:t>Bowel compromise rose monotonically across degree strata: 0 of 15 below 360°, 13 of 139 (9.4%) at 360–539°, 10 of 45 (22.2%) at 540–719°, 37 of 85 (43.5%) at 720–1079° and 3 of 3 at ≥1080° (Cochran–Armitage z = 6.87, P &lt; 0.001). Irreversible necrosis followed the same gradient (0, 3, 4, 10 and 2 cases; z = 3.92, P &lt; 0.001) (Fig. 2). Treated continuously, each additional 90° of rotation was associated with an odds ratio of 1.66 (95% CI 1.42–1.96) for compromise, with an AUC of 0.753.</w:t>
      </w:r>
    </w:p>
    <w:p>
      <w:pPr>
        <w:pStyle w:val="Heading2"/>
      </w:pPr>
      <w:r>
        <w:rPr>
          <w:rFonts w:ascii="Times New Roman" w:hAnsi="Times New Roman"/>
          <w:color w:val="000000"/>
        </w:rPr>
        <w:t>Symptom duration and bowel compromise</w:t>
      </w:r>
    </w:p>
    <w:p>
      <w:r>
        <w:t>Compromise fell as the presenting episode lengthened: 10 of 19 (52.6%) at ≤12 h, 15 of 55 (27.3%) at 12–24 h, 12 of 47 (25.5%) at 24–48 h, 9 of 53 (17.0%) at 48–72 h, 16 of 71 (22.5%) at 72–120 h and 1 of 42 (2.4%) at 120–168 h (Fig. 3). Each doubling of duration was associated with an unadjusted odds ratio of 0.64 (0.50–0.80), AUC 0.661.</w:t>
      </w:r>
    </w:p>
    <w:p>
      <w:r>
        <w:t xml:space="preserve">Children reached the operating room a median of 2 days after admission (IQR 1–4, range 0–12), and this interval tracked clinical urgency rather than the illness: bowel compromise was present in 24 of the 50 children (48.0%) operated on the day of admission and 18 of 58 (31.0%) the next day, against 12 of 96 (12.5%) on the second or third day and 9 of 83 (10.8%) later. The median interval was 0.5 days where volvulus had been suspected before operation and 3 days where known malrotation was operated non-acutely. It was only weakly related to the duration of symptoms before admission (Spearman ρ = 0.14, P = 0.015).</w:t>
      </w:r>
    </w:p>
    <w:p>
      <w:r>
        <w:t>Duration was not a proxy for rotation: the two were essentially uncorrelated (Spearman ρ = −0.07), and median rotation was similar across duration bands. Within every degree stratum, children presenting within 48 h had roughly twice the frequency of compromise of those presenting later: 13.8% versus 6.2% at 360–539°, 33.3% versus 16.7% at 540–719°, and 57.1% versus 34.8% at ≥720°.</w:t>
      </w:r>
    </w:p>
    <w:p>
      <w:pPr>
        <w:pStyle w:val="Heading2"/>
      </w:pPr>
      <w:r>
        <w:rPr>
          <w:rFonts w:ascii="Times New Roman" w:hAnsi="Times New Roman"/>
          <w:color w:val="000000"/>
        </w:rPr>
        <w:t>Multivariable model</w:t>
      </w:r>
    </w:p>
    <w:p>
      <w:r>
        <w:t xml:space="preserve">In the primary model (287 children, 63 events), each 90° of rotation carried an odds ratio of </w:t>
      </w:r>
      <w:r>
        <w:rPr>
          <w:b/>
        </w:rPr>
        <w:t>1.66 (1.41–1.97, P &lt; 0.001)</w:t>
      </w:r>
      <w:r>
        <w:t xml:space="preserve"> and each doubling of symptom duration an odds ratio of </w:t>
      </w:r>
      <w:r>
        <w:rPr>
          <w:b/>
        </w:rPr>
        <w:t>0.59 (0.45–0.77, P &lt; 0.001)</w:t>
      </w:r>
      <w:r>
        <w:t xml:space="preserve">; age (OR 0.993 per month, 0.981–1.002, P = 0.134) and male sex (OR 2.05, 0.89–5.25, P = 0.095) did not reach conventional significance. Discrimination was </w:t>
      </w:r>
      <w:r>
        <w:rPr>
          <w:b/>
        </w:rPr>
        <w:t>0.813 (0.749–0.876)</w:t>
      </w:r>
      <w:r>
        <w:t xml:space="preserve">, falling to </w:t>
      </w:r>
      <w:r>
        <w:rPr>
          <w:b/>
        </w:rPr>
        <w:t>0.801 (0.740–0.865)</w:t>
      </w:r>
      <w:r>
        <w:t xml:space="preserve"> after bootstrap optimism correction, with a corrected calibration slope of 0.971; apparent calibration intercept was −0.028, slope 1.032 and Brier score 0.129 (Table 3, Fig. 4).</w:t>
      </w:r>
    </w:p>
    <w:p>
      <w:r>
        <w:t>At the Youden-optimal predicted probability of 0.270, sensitivity was 0.746 (0.627–0.837) and specificity 0.799 (0.742–0.846), with positive predictive value 0.511 (0.410–0.611), negative predictive value 0.918 (0.871–0.949), and likelihood ratios of 3.71 (2.76–5.00) positive and 0.32 (0.21–0.49) negative. Because the cut-point was chosen in these same data, these figures are optimistic. Re-selecting it inside every bootstrap resample gave a corrected sensitivity of 0.706 and specificity of 0.788, and showed the cut-point itself to be unstable, only 21% of resamples selecting a value between 0.25 and 0.30.</w:t>
      </w:r>
    </w:p>
    <w:p>
      <w:r>
        <w:t>Departure-from-linear-trend tests were non-significant for all three continuous variables (rotation P = 0.957 across the five pre-specified strata, log2 symptom duration 0.846, age 0.977); with 63 events they have limited power and do not establish linearity (Supplementary Methods S6).</w:t>
      </w:r>
    </w:p>
    <w:p>
      <w:r>
        <w:t xml:space="preserve">No modification of the rotation effect by duration was detected: the multiplicative interaction term was close to null (OR 1.02, 0.89–1.17; likelihood ratio P = 0.785), and the degree effect was similar below and above the median duration of 72 h (OR 1.72, 1.42–2.12 versus 1.48, 1.14–2.00).</w:t>
      </w:r>
    </w:p>
    <w:p>
      <w:pPr>
        <w:pStyle w:val="Heading2"/>
      </w:pPr>
      <w:r>
        <w:rPr>
          <w:rFonts w:ascii="Times New Roman" w:hAnsi="Times New Roman"/>
          <w:color w:val="000000"/>
        </w:rPr>
        <w:t>Inflammatory markers</w:t>
      </w:r>
    </w:p>
    <w:p>
      <w:r>
        <w:t xml:space="preserve">The 174 children with complete data (38 events) did not differ from the remaining 113 in the frequency of bowel compromise (21.8% versus 22.1%), in rotation or in symptom duration, but were younger (interquartile range of age 0–0 versus 0–7 months); the clinical model reached 0.763 (0.642–0.884) in the 113. Among the 174, the two markers jointly improved model fit (penalized likelihood ratio χ² = 10.77 on 2 df, </w:t>
      </w:r>
      <w:r>
        <w:rPr>
          <w:b/>
        </w:rPr>
        <w:t>P = 0.005</w:t>
      </w:r>
      <w:r>
        <w:t xml:space="preserve">). The gain in discrimination was nevertheless small: 0.864 (0.803–0.924) to 0.881 (0.819–0.943) (Fig. 3), a ΔAUC of </w:t>
      </w:r>
      <w:r>
        <w:rPr>
          <w:b/>
        </w:rPr>
        <w:t>+0.017</w:t>
      </w:r>
      <w:r>
        <w:t xml:space="preserve"> (DeLong P = 0.293), with an integrated discrimination improvement of 0.070 (0.011–0.136). Adjusted for rotation, duration, age and sex, log2-CRP retained an association (OR 1.51, 1.17–2.03, P = 0.001) whereas ANC did not (OR 1.05, 0.92–1.21, P = 0.463).</w:t>
      </w:r>
    </w:p>
    <w:p>
      <w:r>
        <w:t xml:space="preserve">That CRP association rested on specimens drawn on the day of surgery. Of 180 children with a CRP value, 53 (29.4%) were sampled on the day of operation. Restricting to the 122 children whose specimen preceded that day and who had complete data, the adjusted CRP odds ratio fell to </w:t>
      </w:r>
      <w:r>
        <w:rPr>
          <w:b/>
        </w:rPr>
        <w:t>1.18 (0.70–1.89, P = 0.526)</w:t>
      </w:r>
      <w:r>
        <w:t xml:space="preserve">, the neutrophil count estimate was centered on the null (OR 1.00, 0.82–1.19), and neither the joint likelihood ratio test (χ² = 0.40 on 2 df, </w:t>
      </w:r>
      <w:r>
        <w:rPr>
          <w:b/>
        </w:rPr>
        <w:t>P = 0.818</w:t>
      </w:r>
      <w:r>
        <w:t xml:space="preserve">), the change in discrimination (</w:t>
      </w:r>
      <w:r>
        <w:rPr>
          <w:b/>
        </w:rPr>
        <w:t>ΔAUC −0.009</w:t>
      </w:r>
      <w:r>
        <w:t xml:space="preserve">, DeLong P = 0.324) nor the integrated discrimination improvement (</w:t>
      </w:r>
      <w:r>
        <w:rPr>
          <w:b/>
        </w:rPr>
        <w:t>0.000, −0.019 to 0.022</w:t>
      </w:r>
      <w:r>
        <w:t xml:space="preserve">) reached significance; with 17 events that subset is compatible with a range of effects as well as with none (Table S3). In the same-day subset the association persisted (OR 1.54, 1.09–2.48, P = 0.012), that is, in the children whose specimen cannot be shown to have preceded the incision. Whether a CRP was obtained at all depended on the presentation: availability ranged from 45% to 65% across the three duration strata of the source cohort (Supplementary Methods S4). The non-significant result did not depend on the missingness mechanism: among the 234 children whose CRP either preceded the day of surgery or was never obtained, the adjusted odds ratio was 1.02 (0.70–1.50) under missing-at-random imputation and remained non-significant at every assumed departure between a quarter and eight times the imputed value, no tipping point being reached (Supplementary Methods S4).</w:t>
      </w:r>
    </w:p>
    <w:p>
      <w:pPr>
        <w:pStyle w:val="Heading2"/>
      </w:pPr>
      <w:r>
        <w:rPr>
          <w:rFonts w:ascii="Times New Roman" w:hAnsi="Times New Roman"/>
          <w:color w:val="000000"/>
        </w:rPr>
        <w:t>Sensitivity analyses</w:t>
      </w:r>
    </w:p>
    <w:p>
      <w:r>
        <w:t>The rotation effect was stable across every alternative definition of the population, the odds ratio per 90° lying between 1.64 and 1.81, and the duration effect was consistent in direction and significance (0.53–0.77); the eight definitions and their estimates are in Table 4. The duration effect was weakest when children with chronic presentations were readmitted, as expected if duration acts chiefly within acute presentations.</w:t>
      </w:r>
    </w:p>
    <w:p>
      <w:pPr>
        <w:pStyle w:val="Heading1"/>
      </w:pPr>
      <w:r>
        <w:rPr>
          <w:rFonts w:ascii="Times New Roman" w:hAnsi="Times New Roman"/>
          <w:color w:val="000000"/>
        </w:rPr>
        <w:t>Discussion</w:t>
      </w:r>
    </w:p>
    <w:p>
      <w:r>
        <w:t>In 287 children operated for acute midgut volvulus, two quantities were independently and gradedly associated with the state of the bowel: how far the midgut had rotated, and how long the child had been symptomatic. Each carried information the other did not: they were uncorrelated, did not interact, and together discriminated better (optimism-corrected AUC 0.801) than either alone.</w:t>
      </w:r>
    </w:p>
    <w:p>
      <w:r>
        <w:rPr>
          <w:b/>
        </w:rPr>
        <w:t>Interpretation of the duration effect.</w:t>
      </w:r>
      <w:r>
        <w:t xml:space="preserve"> The direction of the duration effect is counterintuitive and is not evidence that delay is safe. The most parsimonious explanation is that duration reflects the physiology of the twist rather than the accumulation of injury over time: a complete, strangulating volvulus declares itself within hours and compromises the bowel, whereas a partial or intermittent one can persist for days precisely because it has not strangulated, so children arriving with long histories are selected for the milder mechanism. In a child with confirmed volvulus, a short history therefore makes the complete, strangulating twist more likely rather than less, and should raise rather than lower concern. The interval from admission to operation behaved the same way and for the same reason: children operated on the day they arrived had bowel compromise more than four times as often as those operated after the third day. That interval registers the surgeon's reading of severity rather than predicting it, and is therefore reported as context only. Combining it with the history into a single onset-to-operation time does improve apparent discrimination (AUC 0.841 against 0.813), but that gain derives from a variable partly encoding the surgeon's own assessment and should not be read as predictive performance.</w:t>
      </w:r>
    </w:p>
    <w:p>
      <w:r>
        <w:rPr>
          <w:b/>
        </w:rPr>
        <w:t>Comparison with an independent series.</w:t>
      </w:r>
      <w:r>
        <w:t xml:space="preserve"> In 108 neonates operated for midgut volvulus at another center, the interval from symptom onset to operation was a median of one day where the bowel was ischemic or necrotic and seven days where it was not.</w:t>
      </w:r>
      <w:r>
        <w:rPr>
          <w:vertAlign w:val="superscript"/>
        </w:rPr>
        <w:t xml:space="preserve">13</w:t>
      </w:r>
      <w:r>
        <w:t xml:space="preserve"> That cohort is confined to neonates and its comparison group was randomly sampled, so its outcome proportion (19%) is about twice the 9% of the series it came from and its reported area under the curve of 0.985 should be read cautiously. The direction is nevertheless the same, in a different country and decade, which is stronger support than our own data can provide. Bilious vomiting was less frequent there too where the bowel was compromised (71% versus 98%), and distension more frequent, though on two children against none; bloody stool was not, on four children in total. Two series state that ischemia and necrosis bear no clear relation to the duration of illness,</w:t>
      </w:r>
      <w:r>
        <w:rPr>
          <w:vertAlign w:val="superscript"/>
        </w:rPr>
        <w:t xml:space="preserve">6,10</w:t>
      </w:r>
      <w:r>
        <w:t xml:space="preserve"> but neither reports an analysis in support; the table of one gives necrosis in 3 of 7 children operated within a day of onset against 2 of 22 later, the direction reported here, on five events (P = 0.08).</w:t>
      </w:r>
      <w:r>
        <w:rPr>
          <w:vertAlign w:val="superscript"/>
        </w:rPr>
        <w:t xml:space="preserve">6</w:t>
      </w:r>
    </w:p>
    <w:p>
      <w:r>
        <w:rPr>
          <w:b/>
        </w:rPr>
        <w:t>Negation in free-text symptom abstraction.</w:t>
      </w:r>
      <w:r>
        <w:t xml:space="preserve"> Re-examining the source records uncovered an error in our own abstraction. Chinese admission notes list negatives as a matter of routine, and a keyword search cannot tell "distension" from "no distension": most records such a search called positive for distension or bloody stool were explicit denials. Misclassification acted in both directions. Two genuine associations had been diluted to nothing: both features are strongly associated with bowel compromise when the denials are separated out and null when they are not, and both are among the features linked to ischemia in the independent sonographic series of 130 children.</w:t>
      </w:r>
      <w:r>
        <w:rPr>
          <w:vertAlign w:val="superscript"/>
        </w:rPr>
        <w:t xml:space="preserve">10</w:t>
      </w:r>
      <w:r>
        <w:t xml:space="preserve"> Conversely, recorded bilious vomiting appeared to protect against compromise. In our data that appearance is at least partly an artifact of recording: children whose vomitus was described as bilious and those explicitly described as not having it cannot be told apart, though only nine fell in the second group, whereas those in whom the character was never described had the highest frequency of compromise of the three groups; the character went undescribed most often in the children reaching the operating room fastest, who are also at highest risk. Recording may not, however, account for all of it, since the same direction appears in the independent series above, where the presenting symptom was a recorded field. We report bloody stool and distension as markers rather than predictors, both plausibly consequences of mucosal ischemia rather than antecedents, and did not add them to the model; duration is less exposed, stated as a number in almost every chief complaint. More generally, symptom–outcome associations abstracted from clinical free text can be reversed, abolished or manufactured by negation alone: a study that does not say how negation was handled has not said how its symptoms were defined.</w:t>
      </w:r>
    </w:p>
    <w:p>
      <w:r>
        <w:rPr>
          <w:b/>
        </w:rPr>
        <w:t>Sources of disagreement in the earlier literature.</w:t>
      </w:r>
      <w:r>
        <w:t xml:space="preserve"> Two explanations are usually offered for the disagreement among the earlier series</w:t>
      </w:r>
      <w:r>
        <w:rPr>
          <w:vertAlign w:val="superscript"/>
        </w:rPr>
        <w:t xml:space="preserve">6-10</w:t>
      </w:r>
      <w:r>
        <w:t xml:space="preserve"> (search strategy in Supplementary Methods S5): measurement error in imaging estimates, and small numbers. Measurement source cannot be separated from result in those series: the two using estimates recorded at operation were null and the one using sonography positive. The present series, however, also used operative estimates and found a strong association. Small numbers are the more parsimonious explanation: five, three and eleven events against 63 here. Recomputation loosens even the alignment with measurement source. The sonographic series reported a greater twist in ischemic bowel. Of the two operative series, the one recording degrees shows the gradient reported here when its own table is recomputed, though not significantly (necrosis in 2 of 6 children at 720° or more against 1 of 15 below, P = 0.18); the one counting turns records no gradient. None is informative at that sample size. Neither explanation is complete, however, and the present analysis adds a third: </w:t>
      </w:r>
      <w:r>
        <w:rPr>
          <w:b/>
        </w:rPr>
        <w:t>cohort definition</w:t>
      </w:r>
      <w:r>
        <w:t>. In our own source cohort the frequency of bowel compromise varied from 5.9% to 34.6% according to why the child was operated on, and fell from 27.9% to 8.6% as the presenting history lengthened. A series that mixes acute volvulus with chronic malrotation and incidental findings dilutes any degree–outcome gradient with children who were never at acute risk. This is a correctable design problem rather than an irreducible limitation, and it applies to our own earlier analysis of these data as much as to the published series.</w:t>
      </w:r>
    </w:p>
    <w:p>
      <w:r>
        <w:rPr>
          <w:b/>
        </w:rPr>
        <w:t>Inflammatory markers.</w:t>
      </w:r>
      <w:r>
        <w:t xml:space="preserve"> Whether CRP and the neutrophil count add anything once rotation and duration are known depends on which specimens are admitted. The small change in the area under the curve is not an adequate basis for this judgment: the two models are nested, and the appropriate test, a joint likelihood ratio test for the two markers, is clearly positive in the full complete-case set, as is the integrated discrimination improvement; only the change in the area under the curve is unimpressive, and the DeLong test is in any case not valid for nested models. Taken at face value, the markers carry information about the state of the bowel. What removes that information is not a choice of metric but a restriction of timing: once specimens that cannot be shown to precede the incision are excluded, the likelihood ratio test, the integrated discrimination improvement and the change in discrimination all cease to be significant together. That subset retains 17 events, so it does not establish that the markers carry no preoperative information; what it establishes is that none can be demonstrated here. All three measures were computed in the data in which the extended model was fitted, and are optimistic to an unknown degree.</w:t>
      </w:r>
    </w:p>
    <w:p>
      <w:r>
        <w:rPr>
          <w:b/>
        </w:rPr>
        <w:t>Specimen timing and the interpretation of the markers.</w:t>
      </w:r>
      <w:r>
        <w:t xml:space="preserve"> Two features of these data explain it: operative records carry no time of day, so for a same-day specimen, the only specimens carrying the signal, it cannot be shown that blood was drawn before the incision; and whether a CRP is ordered at all depends on the clinical picture, so a marker whose measurement is prompted by the physician's concern cannot readily be separated from that concern. On these data the markers cannot be shown to add anything usable to what the history and the operative finding already provide. That is a statement about these data rather than about CRP itself: in the neonatal series above, where CRP was drawn within two hours of admission and was therefore unambiguously preoperative, it separated the two groups widely (median 57 versus 1 mg/L).</w:t>
      </w:r>
      <w:r>
        <w:rPr>
          <w:vertAlign w:val="superscript"/>
        </w:rPr>
        <w:t xml:space="preserve">13</w:t>
      </w:r>
      <w:r>
        <w:t xml:space="preserve"> The difference between that result and ours may lie in when the blood was taken rather than in what the marker measures.</w:t>
      </w:r>
    </w:p>
    <w:p>
      <w:r>
        <w:rPr>
          <w:b/>
        </w:rPr>
        <w:t>Clinical implications.</w:t>
      </w:r>
      <w:r>
        <w:t xml:space="preserve"> The degree of rotation is an intraoperative observation and cannot serve as a preoperative predictor; its role here is to establish that the anatomy carries a strong graded signal and to benchmark how much of the outcome it explains. Duration, by contrast, is known before the abdomen is opened. Neither finding establishes that acting on these variables improves outcome: no post-operative course, resection length or second-look strategy was analyzed. What the analysis supports is a risk statement, not a treatment rule.</w:t>
      </w:r>
    </w:p>
    <w:p>
      <w:r>
        <w:rPr>
          <w:b/>
        </w:rPr>
        <w:t>Strengths.</w:t>
      </w:r>
      <w:r>
        <w:t xml:space="preserve"> The cohort is large for this condition and spans 13 consecutive years, and the analysis population is defined by explicit clinical criteria rather than a database keyword. The outcome was adjudicated against a written manual by blinded double adjudication rather than extracted by keyword, the degree was abstracted reproducibly, and the rotation effect was essentially unchanged across eight alternative definitions.</w:t>
      </w:r>
    </w:p>
    <w:p>
      <w:r>
        <w:rPr>
          <w:b/>
        </w:rPr>
        <w:t>Limitations.</w:t>
      </w:r>
      <w:r>
        <w:t xml:space="preserve"> </w:t>
      </w:r>
      <w:r>
        <w:rPr>
          <w:i/>
        </w:rPr>
        <w:t>Cohort and design.</w:t>
      </w:r>
      <w:r>
        <w:t xml:space="preserve"> The reference standard exists only for operated children, so these estimates concern risk stratification once operation has been decided upon, not the decision to operate. This is a single-center retrospective study without external validation, and the model is development-stage. The restriction to acute midgut volvulus was introduced after the analysis plan was finalized and is not pre-specified; the degree findings replicate a pre-specified analysis, but the duration findings are new and require independent confirmation.</w:t>
      </w:r>
    </w:p>
    <w:p>
      <w:r>
        <w:rPr>
          <w:i/>
        </w:rPr>
        <w:t>Duration.</w:t>
      </w:r>
      <w:r>
        <w:t xml:space="preserve"> Symptom duration was abstracted from the admission chief complaint, which records what the family reported, not when the volvulus began. It is subject to recall, to the interval before presentation, and to the clinician's phrasing; where a chronic course carried an acute exacerbation we took the current episode, a decision that could be made differently. The measure is nevertheless the one clinicians actually use.</w:t>
      </w:r>
    </w:p>
    <w:p>
      <w:r>
        <w:rPr>
          <w:i/>
        </w:rPr>
        <w:t>Indication and timing.</w:t>
      </w:r>
      <w:r>
        <w:t xml:space="preserve"> The interval from admission to operation is recorded only in whole days, and is a consequence of clinical judgment rather than an antecedent of the outcome, so it cannot be interpreted as a modifiable determinant. The classification of operative indication was derived retrospectively from record text and not from a prospectively recorded field; it is reported to characterize the cohort, not as a covariate. Physical examination findings could not be extracted systematically, so the presentation is described only by symptoms.</w:t>
      </w:r>
    </w:p>
    <w:p>
      <w:r>
        <w:rPr>
          <w:i/>
        </w:rPr>
        <w:t>Symptom abstraction.</w:t>
      </w:r>
      <w:r>
        <w:t xml:space="preserve"> The rules described above were developed by reading the source material rather than validated against an independently coded reference standard, and one misclassification arising from a typographical error in a record is known to remain (Supplementary Methods S3). These features are reported descriptively and do not enter the model.</w:t>
      </w:r>
    </w:p>
    <w:p>
      <w:r>
        <w:rPr>
          <w:i/>
        </w:rPr>
        <w:t>Shared source of exposure and outcome.</w:t>
      </w:r>
      <w:r>
        <w:t xml:space="preserve"> Both the rotation and the state of the bowel are recorded by the same surgeon in the same operative note. Adjudicators were blinded to laboratory data but not to the degree, and a surgeon who finds dusky bowel may record the rotation more carefully or estimate it higher; either would strengthen the observed gradient. Reproducibility of abstraction is not independence of measurement, and settling this requires a series in which rotation is recorded before the bowel is inspected. Duration is unaffected, being recorded on admission, before any operative finding is known.</w:t>
      </w:r>
    </w:p>
    <w:p>
      <w:r>
        <w:rPr>
          <w:i/>
        </w:rPr>
        <w:t>The analysis.</w:t>
      </w:r>
      <w:r>
        <w:t xml:space="preserve"> Only the primary model is confirmatory for rotation; the duration analyses, sensitivity analyses and marker comparisons are exploratory and were not corrected for multiplicity. The marker analyses describe a younger subgroup than the primary analysis, and the apparent difference in discrimination between the two subgroups rests on 38 and 25 events with widely overlapping intervals; we do not read it as real. The secondary outcome, irreversible necrosis, occurred in 19 children and was examined univariably only. The Youden cut-point is reported to characterize the model, not as a threshold for use. Forty-two per cent of outcomes in the source cohort retained algorithmic labels, in the direction in which the algorithm made no errors on audit, though that audit contained only 14 positive records.</w:t>
      </w:r>
    </w:p>
    <w:p>
      <w:pPr>
        <w:pStyle w:val="Heading1"/>
      </w:pPr>
      <w:r>
        <w:rPr>
          <w:rFonts w:ascii="Times New Roman" w:hAnsi="Times New Roman"/>
          <w:color w:val="000000"/>
        </w:rPr>
        <w:t>Conclusion</w:t>
      </w:r>
    </w:p>
    <w:p>
      <w:r>
        <w:t xml:space="preserve">In children operated for acute midgut volvulus, the degree of rotation and the duration of the presenting illness are each independently and gradedly associated with bowel compromise, and together discriminate moderately well. The duration effect runs counter to expectation: a history of hours rather than days more likely reflects a complete, strangulating twist than a safe interval, and should heighten rather than relieve concern. Preoperative CRP and the neutrophil count did carry information about the state of the bowel, but all of it came from specimens that cannot be placed before the incision; once those were excluded, no contribution could be demonstrated in the 17 events that remained. The rotation finding requires confirmation in a series where the rotation and the state of the bowel are recorded independently; the duration finding, being new, requires replication in an independent cohort.</w:t>
      </w:r>
    </w:p>
    <w:p>
      <w:pPr>
        <w:pStyle w:val="Heading1"/>
      </w:pPr>
      <w:r>
        <w:rPr>
          <w:rFonts w:ascii="Times New Roman" w:hAnsi="Times New Roman"/>
          <w:color w:val="000000"/>
        </w:rPr>
        <w:t>Acknowledgments</w:t>
      </w:r>
    </w:p>
    <w:p>
      <w:r>
        <w:t>This study received no specific grant from any funding agency in the public, commercial or not-for-profit sectors.</w:t>
      </w:r>
    </w:p>
    <w:p>
      <w:pPr>
        <w:pStyle w:val="Heading1"/>
      </w:pPr>
      <w:r>
        <w:rPr>
          <w:rFonts w:ascii="Times New Roman" w:hAnsi="Times New Roman"/>
          <w:color w:val="000000"/>
        </w:rPr>
        <w:t>Conflict of Interest</w:t>
      </w:r>
    </w:p>
    <w:p>
      <w:r>
        <w:t>Conflict of Interest: none declared.</w:t>
      </w:r>
    </w:p>
    <w:p>
      <w:pPr>
        <w:pStyle w:val="Heading1"/>
      </w:pPr>
      <w:r>
        <w:rPr>
          <w:rFonts w:ascii="Times New Roman" w:hAnsi="Times New Roman"/>
          <w:color w:val="000000"/>
        </w:rPr>
        <w:t>Declarations</w:t>
      </w:r>
    </w:p>
    <w:p>
      <w:r>
        <w:rPr>
          <w:b/>
        </w:rPr>
        <w:t>Ethics approval</w:t>
      </w:r>
      <w:r>
        <w:t xml:space="preserve"> This study was approved by the Ethics Committee of Wuhan Children's Hospital (Wuhan Maternal and Child Healthcare Hospital), Tongji Medical College, Huazhong University of Science &amp; Technology (approval number 2026R018-E01), and was performed in accordance with the Declaration of Helsinki.</w:t>
      </w:r>
    </w:p>
    <w:p>
      <w:r>
        <w:rPr>
          <w:b/>
        </w:rPr>
        <w:t>Consent to participate</w:t>
      </w:r>
      <w:r>
        <w:t xml:space="preserve"> The requirement for individual informed consent was waived by the ethics committee owing to the retrospective design and use of de-identified data.</w:t>
      </w:r>
    </w:p>
    <w:p>
      <w:r>
        <w:rPr>
          <w:b/>
        </w:rPr>
        <w:t>Consent for publication</w:t>
      </w:r>
      <w:r>
        <w:t xml:space="preserve"> Not applicable; the manuscript contains no individually identifiable data or images.</w:t>
      </w:r>
    </w:p>
    <w:p>
      <w:r>
        <w:rPr>
          <w:b/>
        </w:rPr>
        <w:t>Data availability</w:t>
      </w:r>
      <w:r>
        <w:t xml:space="preserve"> The de-identified analysis dataset, the analysis code, and the statistical analysis plan with its amendment log are available from the corresponding author on reasonable request.</w:t>
      </w:r>
    </w:p>
    <w:p>
      <w:r>
        <w:rPr>
          <w:b/>
        </w:rPr>
        <w:t>Author contributions</w:t>
      </w:r>
      <w:r>
        <w:t xml:space="preserve"> Jun Shu: conceptualization, data curation, formal analysis, methodology, writing – original draft. Hongqiang Bian: investigation, outcome adjudication, validation, writing – review and editing. Jun Yang: conceptualization, supervision, resources, writing – review and editing. All authors read and approved the final manuscript.</w:t>
      </w:r>
    </w:p>
    <w:p>
      <w:r>
        <w:rPr>
          <w:b/>
        </w:rPr>
        <w:t>Related work</w:t>
      </w:r>
      <w:r>
        <w:t xml:space="preserve"> The institutional intestinal malrotation database from which this cohort is drawn has also been used, over the same calendar period, in other work by our group addressing different research questions: the diagnostic performance of preoperative imaging, and the causes of unplanned reoperation after the Ladd procedure. The patient populations therefore partly overlap, but the exposures and outcomes examined are distinct, and no degree of rotation, bowel perfusion finding, or laboratory value reported here appears in that other work.</w:t>
      </w:r>
    </w:p>
    <w:p>
      <w:r>
        <w:br w:type="page"/>
      </w:r>
    </w:p>
    <w:p>
      <w:pPr>
        <w:pStyle w:val="Heading1"/>
      </w:pPr>
      <w:r>
        <w:rPr>
          <w:rFonts w:ascii="Times New Roman" w:hAnsi="Times New Roman"/>
          <w:color w:val="000000"/>
        </w:rPr>
        <w:t>References</w:t>
      </w:r>
    </w:p>
    <w:p>
      <w:r>
        <w:t xml:space="preserve">1. McCurdie FK, Meshaka R, Leung G, Billington J, Watson TA. Ultrasound for infantile midgut malrotation: techniques, pearls, and pitfalls. Pediatr Radiol 2024;54:2099–2111</w:t>
      </w:r>
    </w:p>
    <w:p>
      <w:r>
        <w:t xml:space="preserve">2. Coe TM, Chang DC, Sicklick JK. Small bowel volvulus in the adult populace of the United States: results from a population-based study. Am J Surg 2015;210:201–210.e2</w:t>
      </w:r>
    </w:p>
    <w:p>
      <w:r>
        <w:t xml:space="preserve">3. Hong CR, Han SM, Staffa SJ, Carey AN, Modi BP, Jaksic T. Long-term outcomes of ultrashort bowel syndrome due to malrotation with midgut volvulus managed at an interdisciplinary pediatric intestinal rehabilitation center. J Pediatr Surg 2019;54:964–967</w:t>
      </w:r>
    </w:p>
    <w:p>
      <w:r>
        <w:t xml:space="preserve">4. Ramsey WA, Saberi RA, Rodriguez C, et al. Income disparities in nationwide outcomes of malrotation with midgut volvulus. J Pediatr Surg 2023;58:1560–1565</w:t>
      </w:r>
    </w:p>
    <w:p>
      <w:r>
        <w:t xml:space="preserve">5. Schiess DM, Sammer MBK, Sher AC, et al. Impact of focused abdominal ultrasound utilization on outcomes for children with midgut volvulus. J Pediatr Surg 2024;59:1101–1107</w:t>
      </w:r>
    </w:p>
    <w:p>
      <w:r>
        <w:t xml:space="preserve">6. Rhim SY, Jung PM. Clinical study of midgut volvulus [in Korean]. J Korean Assoc Pediatr Surg 2007;13:30–36</w:t>
      </w:r>
    </w:p>
    <w:p>
      <w:r>
        <w:t xml:space="preserve">7. Zhang W, Sun H, Luo F. The efficiency of sonography in diagnosing volvulus in neonates with suspected intestinal malrotation. Medicine (Baltimore) 2017;96:e8287</w:t>
      </w:r>
    </w:p>
    <w:p>
      <w:r>
        <w:t xml:space="preserve">8. Hosokawa T, Hosokawa M, Tanami Y, et al. Use of ultrasound findings to predict bowel ischemic changes in pediatric patients with intestinal volvulus. J Ultrasound Med 2020;39:683–692</w:t>
      </w:r>
    </w:p>
    <w:p>
      <w:r>
        <w:t xml:space="preserve">9. Li T, Zhou JF, Wang H, et al. The diagnostic value of the whirl sign in intestinal volvulus [in Chinese]. Chin J Pediatr Surg 2012;33:28–30</w:t>
      </w:r>
    </w:p>
    <w:p>
      <w:r>
        <w:t xml:space="preserve">10. Zhang HR, He JB, Zhou CG, Zhang XH, Li H, Chen LL. Diagnostic value of colour Doppler ultrasonography in intestinal volvulus in children [in Chinese]. J Clin Pediatr Surg 2012;11:34–35</w:t>
      </w:r>
    </w:p>
    <w:p>
      <w:r>
        <w:t xml:space="preserve">11. Lou YL, Zhou YB, Hu Y, Tao XY, Hu DL. Diagnostic function of ultrasonography in malrotation of intestine with midgut volvulus [in Chinese]. Chin Pediatr Emerg Med 2016;23:256–258</w:t>
      </w:r>
    </w:p>
    <w:p>
      <w:r>
        <w:t xml:space="preserve">12. Yang X, Wang W, Wang K, et al. Identification and treatment of intestinal malrotation with midgut volvulus in childhood: a multicenter retrospective study. Front Pediatr 2024;12:1390856</w:t>
      </w:r>
    </w:p>
    <w:p>
      <w:r>
        <w:t xml:space="preserve">13. Guan X, Wang Z, He Q, Lv J, Yu J, Zhong W. Nomogram for estimating the risks of intestinal ischemia and necrosis in neonates with midgut volvulus: a retrospective study. Front Pediatr 2022;10:888594</w:t>
      </w:r>
    </w:p>
    <w:p>
      <w:r>
        <w:t xml:space="preserve">14. Rajab IM, Hart PC, Potempa LA. How C-reactive protein structural isoforms with distinctive bioactivities affect disease progression. Front Immunol 2020;11:2126</w:t>
      </w:r>
    </w:p>
    <w:p>
      <w:r>
        <w:t xml:space="preserve">15. Keeley JA, Kaji A, Kim DY, Putnam B, Neville A. Predictors of ischemic bowel in patients with incarcerated hernias. Hernia 2019;23:277–280</w:t>
      </w:r>
    </w:p>
    <w:p>
      <w:r>
        <w:t xml:space="preserve">16. Tseng WY, Lai MW, Lai JY, et al. Twenty years' experience of midgut malrotation and volvulus in a tertiary center in northern Taiwan: a retrospective study. Pediatr Neonatol 2025;66:7–11</w:t>
      </w:r>
    </w:p>
    <w:p>
      <w:r>
        <w:t xml:space="preserve">17. Heinze G, Schemper M. A solution to the problem of separation in logistic regression. Stat Med 2002;21:2409–2419</w:t>
      </w:r>
    </w:p>
    <w:p>
      <w:r>
        <w:t xml:space="preserve">18. Riley RD, Snell KIE, Ensor J, et al. Minimum sample size for developing a multivariable prediction model: PART II — binary and time-to-event outcomes. Stat Med 2019;38:1276–1296</w:t>
      </w:r>
    </w:p>
    <w:p>
      <w:r>
        <w:t xml:space="preserve">19. DeLong ER, DeLong DM, Clarke-Pearson DL. Comparing the areas under two or more correlated receiver operating characteristic curves: a nonparametric approach. Biometrics 1988;44:837–845</w:t>
      </w:r>
    </w:p>
    <w:p>
      <w:r>
        <w:t xml:space="preserve">20. Pencina MJ, D'Agostino RB Sr, D'Agostino RB Jr, Vasan RS. Evaluating the added predictive ability of a new marker: from area under the ROC curve to reclassification and beyond. Stat Med 2008;27:157–172</w:t>
      </w:r>
    </w:p>
    <w:p>
      <w:r>
        <w:t xml:space="preserve">21. Collins GS, Reitsma JB, Altman DG, Moons KGM. Transparent reporting of a multivariable prediction model for individual prognosis or diagnosis (TRIPOD): the TRIPOD statement. BMJ 2015;350:g7594</w:t>
      </w:r>
    </w:p>
    <w:p>
      <w:r>
        <w:br w:type="page"/>
      </w:r>
    </w:p>
    <w:p>
      <w:pPr>
        <w:pStyle w:val="Heading1"/>
      </w:pPr>
      <w:r>
        <w:rPr>
          <w:rFonts w:ascii="Times New Roman" w:hAnsi="Times New Roman"/>
          <w:color w:val="000000"/>
        </w:rPr>
        <w:t>Figure captions</w:t>
      </w:r>
    </w:p>
    <w:p>
      <w:r>
        <w:rPr>
          <w:b/>
        </w:rPr>
        <w:t>Fig. 1</w:t>
      </w:r>
      <w:r>
        <w:t xml:space="preserve"> Study flow. Of 711 children in the institutional malrotation database, 499 underwent an operation and 414 index operations formed the source cohort. Restriction to acute midgut volvulus excluded 11 children operated primarily for another anomaly, 37 without volvulus or without a recorded degree, and 79 whose current symptom episode exceeded seven days or could not be dated, leaving 287 children.</w:t>
      </w:r>
    </w:p>
    <w:p>
      <w:r>
        <w:rPr>
          <w:b/>
        </w:rPr>
        <w:t>Fig. 2</w:t>
      </w:r>
      <w:r>
        <w:t xml:space="preserve"> Bowel compromise and irreversible necrosis across strata of rotation in the 287 children with acute midgut volvulus. Numbers above each bar are affected children; stratum sizes are given below the axis. The Cochran–Armitage test for trend is inset.</w:t>
      </w:r>
    </w:p>
    <w:p>
      <w:r>
        <w:rPr>
          <w:b/>
        </w:rPr>
        <w:t>Fig. 3</w:t>
      </w:r>
      <w:r>
        <w:t xml:space="preserve"> Bowel compromise by symptom duration, and receiver operating characteristic curves for the clinical model (rotation, duration, age, sex) and for the same model with CRP and the absolute neutrophil count added, in children with complete data. Areas under the curve are shown with 95% DeLong confidence intervals.</w:t>
      </w:r>
    </w:p>
    <w:p>
      <w:r>
        <w:rPr>
          <w:b/>
        </w:rPr>
        <w:t>Fig. 4</w:t>
      </w:r>
      <w:r>
        <w:t xml:space="preserve"> Calibration of the clinical model (n = 287, 63 events). Observed proportion of bowel compromise against predicted probability, by quintile of predicted risk and as a lowess smooth; the dashed diagonal denotes perfect calibration.</w:t>
      </w:r>
    </w:p>
    <w:p>
      <w:r>
        <w:br w:type="page"/>
      </w:r>
    </w:p>
    <w:p>
      <w:pPr>
        <w:pStyle w:val="Heading1"/>
      </w:pPr>
      <w:r>
        <w:rPr>
          <w:rFonts w:ascii="Times New Roman" w:hAnsi="Times New Roman"/>
          <w:color w:val="000000"/>
        </w:rPr>
        <w:t>Tables</w:t>
      </w:r>
    </w:p>
    <w:p>
      <w:r>
        <w:rPr>
          <w:b/>
        </w:rPr>
        <w:t>Table 1</w:t>
      </w:r>
      <w:r>
        <w:t xml:space="preserve"> Indication for operation, presenting features, symptom duration and interval from admission to operation in the source cohort of 414 children, with the frequency of bowel compromise in each group</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390"/>
        <w:gridCol w:w="1651"/>
        <w:gridCol w:w="3188"/>
        <w:gridCol w:w="1011"/>
      </w:tblGrid>
      <w:tr>
        <w:trPr>
          <w:tblHeader w:val="true"/>
        </w:trPr>
        <w:tc>
          <w:tcPr>
            <w:tcW w:type="dxa" w:w="639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165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 (%)</w:t>
            </w:r>
          </w:p>
        </w:tc>
        <w:tc>
          <w:tcPr>
            <w:tcW w:type="dxa" w:w="31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Bowel compromise, n (%)</w:t>
            </w:r>
          </w:p>
        </w:tc>
        <w:tc>
          <w:tcPr>
            <w:tcW w:type="dxa" w:w="101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Indication for operation</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Volvulus suspected preoperatively</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26 (6.3)</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(34.6)</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Acute obstructive presentation</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116 (28.0)</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33 (28.4)</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Known/suspected malrotation, non-acute</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85 (20.5)</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(5.9)</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Non-specific symptoms investigated</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176 (42.5)</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 (13.6)</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Operated primarily for another anomaly</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 (2.7)</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(9.1)</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Malrotation or volvulus mentioned preoperatively</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146 (35.3)</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21 (14.4)</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0.278</w:t>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Presenting features</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Bilious vomiting</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161 (38.9)</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22 (13.7)</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0.143</w:t>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Bloody stool</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32 (7.7)</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 (59.4)</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Abdominal distension</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35 (8.5)</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(45.7)</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Duration of current symptom episode</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≤48 h</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136 (32.9)</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38 (27.9)</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&gt;48 h to 7 days</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184 (44.4)</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26 (14.1)</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&gt;7 days</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93 (22.5)</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 (8.6)</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Median (IQR), hours</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96 (48–168)</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from admission to operation</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Same day</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 (14.7)</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27 (44.3)</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day</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76 (18.4)</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21 (27.6)</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 days</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128 (30.9)</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(10.9)</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days</w:t>
            </w:r>
          </w:p>
        </w:tc>
        <w:tc>
          <w:tcPr>
            <w:tcW w:type="dxa" w:w="165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149 (36.0)</w:t>
            </w:r>
          </w:p>
        </w:tc>
        <w:tc>
          <w:tcPr>
            <w:tcW w:type="dxa" w:w="31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 (6.7)</w:t>
            </w:r>
          </w:p>
        </w:tc>
        <w:tc>
          <w:tcPr>
            <w:tcW w:type="dxa" w:w="10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639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Median (IQR), days</w:t>
            </w:r>
          </w:p>
        </w:tc>
        <w:tc>
          <w:tcPr>
            <w:tcW w:type="dxa" w:w="165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3 (1–4)</w:t>
            </w:r>
          </w:p>
        </w:tc>
        <w:tc>
          <w:tcPr>
            <w:tcW w:type="dxa" w:w="31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101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r>
    </w:tbl>
    <w:p/>
    <w:p>
      <w:pPr>
        <w:sectPr>
          <w:pgSz w:w="15840" w:h="12240" w:orient="landscape"/>
          <w:pgMar w:top="1440" w:right="1800" w:bottom="1440" w:left="1800" w:header="720" w:footer="720" w:gutter="0"/>
          <w:cols w:space="720"/>
          <w:docGrid w:linePitch="360"/>
        </w:sectPr>
      </w:pPr>
    </w:p>
    <w:p>
      <w:r>
        <w:rPr>
          <w:i/>
        </w:rPr>
        <w:t>Groups under "Indication for operation" are mutually exclusive and were classified retrospectively from the admission diagnosis, chief complaint and operative record. P values compare the frequency of bowel compromise between children with and without the feature (Fisher exact test).</w:t>
      </w:r>
    </w:p>
    <w:p>
      <w:r>
        <w:br w:type="page"/>
      </w:r>
    </w:p>
    <w:p>
      <w:r>
        <w:rPr>
          <w:b/>
        </w:rPr>
        <w:t>Table 2</w:t>
      </w:r>
      <w:r>
        <w:t xml:space="preserve"> Baseline characteristics of the 287 children with acute midgut volvulus, according to the presence of bowel compromise</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77"/>
        <w:gridCol w:w="1980"/>
        <w:gridCol w:w="3103"/>
        <w:gridCol w:w="2729"/>
        <w:gridCol w:w="952"/>
      </w:tblGrid>
      <w:tr>
        <w:trPr>
          <w:tblHeader w:val="true"/>
        </w:trPr>
        <w:tc>
          <w:tcPr>
            <w:tcW w:type="dxa" w:w="347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198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 = 287)</w:t>
            </w:r>
          </w:p>
        </w:tc>
        <w:tc>
          <w:tcPr>
            <w:tcW w:type="dxa" w:w="310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No bowel compromise (n = 224)</w:t>
            </w:r>
          </w:p>
        </w:tc>
        <w:tc>
          <w:tcPr>
            <w:tcW w:type="dxa" w:w="272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Bowel compromise (n = 63)</w:t>
            </w:r>
          </w:p>
        </w:tc>
        <w:tc>
          <w:tcPr>
            <w:tcW w:type="dxa" w:w="95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Age, months</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0.24 (0.12–0.96)</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0.24 (0.12–1.32)</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0.12 (0.12–0.54)</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0.025</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Male sex</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223 (77.7)</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168 (75.0)</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55 (87.3)</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0.040</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Symptom duration, hours</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72 (24–96)</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72 (48–120)</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48 (24–96)</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Degree of rotation, °</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360 (360–720)</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360 (360–540)</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720 (540–720)</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Admission to operation, days</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(1–4)</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 (1–4)</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Bilious vomiting</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124 (43.2)</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104 (46.4)</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 (31.7)</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0.044</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Bloody stool</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 (8.4)</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 (3.6)</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(25.4)</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Abdominal distension</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29 (10.1)</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 (6.7)</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(22.2)</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0.001</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C-reactive protein, mg/L</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1.84 (0.82–4.33)</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1.48 (0.82–3.46)</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3.64 (1.30–11.95)</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0.005</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Absolute neutrophil count, ×10⁹/L</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5.52 (3.71–7.67)</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5.22 (3.66–7.41)</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6.41 (4.26–9.37)</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0.027</w:t>
            </w:r>
          </w:p>
        </w:tc>
      </w:tr>
      <w:tr>
        <w:tc>
          <w:tcPr>
            <w:tcW w:type="dxa" w:w="347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Platelet count, ×10⁹/L</w:t>
            </w:r>
          </w:p>
        </w:tc>
        <w:tc>
          <w:tcPr>
            <w:tcW w:type="dxa" w:w="198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342 (272–418)</w:t>
            </w:r>
          </w:p>
        </w:tc>
        <w:tc>
          <w:tcPr>
            <w:tcW w:type="dxa" w:w="31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349 (285–421)</w:t>
            </w:r>
          </w:p>
        </w:tc>
        <w:tc>
          <w:tcPr>
            <w:tcW w:type="dxa" w:w="272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306 (231–373)</w:t>
            </w:r>
          </w:p>
        </w:tc>
        <w:tc>
          <w:tcPr>
            <w:tcW w:type="dxa" w:w="95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0.005</w:t>
            </w:r>
          </w:p>
        </w:tc>
      </w:tr>
      <w:tr>
        <w:tc>
          <w:tcPr>
            <w:tcW w:type="dxa" w:w="347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Albumin, g/L</w:t>
            </w:r>
          </w:p>
        </w:tc>
        <w:tc>
          <w:tcPr>
            <w:tcW w:type="dxa" w:w="198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37.1 (33.0–41.2)</w:t>
            </w:r>
          </w:p>
        </w:tc>
        <w:tc>
          <w:tcPr>
            <w:tcW w:type="dxa" w:w="310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37.1 (33.5–41.9)</w:t>
            </w:r>
          </w:p>
        </w:tc>
        <w:tc>
          <w:tcPr>
            <w:tcW w:type="dxa" w:w="272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36.2 (31.9–39.6)</w:t>
            </w:r>
          </w:p>
        </w:tc>
        <w:tc>
          <w:tcPr>
            <w:tcW w:type="dxa" w:w="95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0.037</w:t>
            </w:r>
          </w:p>
        </w:tc>
      </w:tr>
    </w:tbl>
    <w:p/>
    <w:p>
      <w:pPr>
        <w:sectPr>
          <w:pgSz w:w="15840" w:h="12240" w:orient="landscape"/>
          <w:pgMar w:top="1440" w:right="1800" w:bottom="1440" w:left="1800" w:header="720" w:footer="720" w:gutter="0"/>
          <w:cols w:space="720"/>
          <w:docGrid w:linePitch="360"/>
        </w:sectPr>
      </w:pPr>
    </w:p>
    <w:p>
      <w:r>
        <w:rPr>
          <w:i/>
        </w:rPr>
        <w:t xml:space="preserve">Continuous variables are median (interquartile range), compared with the Mann–Whitney U test; binary variables are n (%), compared with the Fisher exact test.</w:t>
      </w:r>
    </w:p>
    <w:p>
      <w:r>
        <w:br w:type="page"/>
      </w:r>
    </w:p>
    <w:p>
      <w:r>
        <w:rPr>
          <w:b/>
        </w:rPr>
        <w:t>Table 3</w:t>
      </w:r>
      <w:r>
        <w:t xml:space="preserve"> Firth penalized logistic model for bowel compromise in acute midgut volvulus (n = 287, 63 events)</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549"/>
        <w:gridCol w:w="3575"/>
        <w:gridCol w:w="1116"/>
      </w:tblGrid>
      <w:tr>
        <w:trPr>
          <w:tblHeader w:val="true"/>
        </w:trPr>
        <w:tc>
          <w:tcPr>
            <w:tcW w:type="dxa" w:w="754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Variable</w:t>
            </w:r>
          </w:p>
        </w:tc>
        <w:tc>
          <w:tcPr>
            <w:tcW w:type="dxa" w:w="35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Odds ratio (95% CI)</w:t>
            </w:r>
          </w:p>
        </w:tc>
        <w:tc>
          <w:tcPr>
            <w:tcW w:type="dxa" w:w="11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Rotation, per 90°</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1.66 (1.41–1.97)</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Symptom duration, per doubling</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0.59 (0.45–0.77)</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&lt;0.001</w:t>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Age, per month</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0.993 (0.981–1.002)</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0.134</w:t>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Male sex</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2.05 (0.89–5.25)</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0.095</w:t>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Area under the curve</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0.813 (0.749–0.876)</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Area under the curve, optimism-corrected</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0.801 (0.740–0.865)</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Calibration slope</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1.032</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Calibration slope, optimism-corrected</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0.971</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754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Calibration intercept</w:t>
            </w:r>
          </w:p>
        </w:tc>
        <w:tc>
          <w:tcPr>
            <w:tcW w:type="dxa" w:w="35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−0.028</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754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Brier score</w:t>
            </w:r>
          </w:p>
        </w:tc>
        <w:tc>
          <w:tcPr>
            <w:tcW w:type="dxa" w:w="35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0.129</w:t>
            </w:r>
          </w:p>
        </w:tc>
        <w:tc>
          <w:tcPr>
            <w:tcW w:type="dxa" w:w="11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r>
    </w:tbl>
    <w:p/>
    <w:p>
      <w:pPr>
        <w:sectPr>
          <w:pgSz w:w="15840" w:h="12240" w:orient="landscape"/>
          <w:pgMar w:top="1440" w:right="1800" w:bottom="1440" w:left="1800" w:header="720" w:footer="720" w:gutter="0"/>
          <w:cols w:space="720"/>
          <w:docGrid w:linePitch="360"/>
        </w:sectPr>
      </w:pPr>
    </w:p>
    <w:p>
      <w:r>
        <w:rPr>
          <w:i/>
        </w:rPr>
        <w:t xml:space="preserve">Confidence intervals and P values are based on the profile penalized likelihood. Optimism-corrected values were obtained by bootstrap internal validation with 1000 resamples. The fitted model, on the logit scale, is logit(p) = −1.8020 + 0.5056 × rotation − 0.5266 × duration − 0.0075 × age + 0.7196 × male sex, where rotation is in units of 90°, duration is log2(hours of the current symptom episode), age is in months and sex is 1 for male; the predicted probability is 1/(1 + exp(−logit)). The model is development-stage and has not been externally validated.</w:t>
      </w:r>
    </w:p>
    <w:p>
      <w:r>
        <w:br w:type="page"/>
      </w:r>
    </w:p>
    <w:p>
      <w:r>
        <w:rPr>
          <w:b/>
        </w:rPr>
        <w:t>Table 4</w:t>
      </w:r>
      <w:r>
        <w:t xml:space="preserve"> Rotation and duration effects under alternative definitions of the analysis population</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170"/>
        <w:gridCol w:w="792"/>
        <w:gridCol w:w="916"/>
        <w:gridCol w:w="2579"/>
        <w:gridCol w:w="2940"/>
        <w:gridCol w:w="843"/>
      </w:tblGrid>
      <w:tr>
        <w:trPr>
          <w:tblHeader w:val="true"/>
        </w:trPr>
        <w:tc>
          <w:tcPr>
            <w:tcW w:type="dxa" w:w="417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 population</w:t>
            </w:r>
          </w:p>
        </w:tc>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w:t>
            </w:r>
          </w:p>
        </w:tc>
        <w:tc>
          <w:tcPr>
            <w:tcW w:type="dxa" w:w="9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Events</w:t>
            </w:r>
          </w:p>
        </w:tc>
        <w:tc>
          <w:tcPr>
            <w:tcW w:type="dxa" w:w="257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Rotation, OR per 90° (95% CI)</w:t>
            </w:r>
          </w:p>
        </w:tc>
        <w:tc>
          <w:tcPr>
            <w:tcW w:type="dxa" w:w="294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Duration, OR per doubling (95% CI)</w:t>
            </w:r>
          </w:p>
        </w:tc>
        <w:tc>
          <w:tcPr>
            <w:tcW w:type="dxa" w:w="84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AUC</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Primary analysis population (acute midgut volvulus)</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63</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1.66 (1.41–1.97)</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0.59 (0.45–0.77)</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0.813</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Restricted to presentation within 48 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121</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37</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1.66 (1.34–2.12)</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0.59 (0.34–0.99)</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0.804</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Volvulus suspected preoperatively</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102</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1.66 (1.26–2.27)</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0.65 (0.42–0.98)</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0.821</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Volvulus not suspected preoperatively</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185</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45</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1.68 (1.38–2.10)</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0.56 (0.39–0.79)</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0.832</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children with volvulus, any duration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365</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71</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1.71 (1.48–2.02)</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0.77 (0.63–0.91)</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0.809</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Entire source cohort</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398</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72</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1.73 (1.50–2.02)</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0.76 (0.63–0.90)</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0.825</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Excluding previous abdominal 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276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1.72 (1.45–2.06)</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0.58 (0.44–0.77)</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0.824</w:t>
            </w:r>
          </w:p>
        </w:tc>
      </w:tr>
      <w:tr>
        <w:tc>
          <w:tcPr>
            <w:tcW w:type="dxa" w:w="41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Outcome adjudicated manually only</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158</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44</w:t>
            </w:r>
          </w:p>
        </w:tc>
        <w:tc>
          <w:tcPr>
            <w:tcW w:type="dxa" w:w="257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1.81 (1.46–2.32)</w:t>
            </w:r>
          </w:p>
        </w:tc>
        <w:tc>
          <w:tcPr>
            <w:tcW w:type="dxa" w:w="294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0.53 (0.36–0.76)</w:t>
            </w:r>
          </w:p>
        </w:tc>
        <w:tc>
          <w:tcPr>
            <w:tcW w:type="dxa" w:w="84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0.853</w:t>
            </w:r>
          </w:p>
        </w:tc>
      </w:tr>
      <w:tr>
        <w:tc>
          <w:tcPr>
            <w:tcW w:type="dxa" w:w="417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Total rather than current-episode duration</w:t>
            </w:r>
          </w:p>
        </w:tc>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287</w:t>
            </w:r>
          </w:p>
        </w:tc>
        <w:tc>
          <w:tcPr>
            <w:tcW w:type="dxa" w:w="9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63</w:t>
            </w:r>
          </w:p>
        </w:tc>
        <w:tc>
          <w:tcPr>
            <w:tcW w:type="dxa" w:w="257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1.64 (1.40–1.95)</w:t>
            </w:r>
          </w:p>
        </w:tc>
        <w:tc>
          <w:tcPr>
            <w:tcW w:type="dxa" w:w="294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0.61 (0.47–0.79)</w:t>
            </w:r>
          </w:p>
        </w:tc>
        <w:tc>
          <w:tcPr>
            <w:tcW w:type="dxa" w:w="84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0.811</w:t>
            </w:r>
          </w:p>
        </w:tc>
      </w:tr>
    </w:tbl>
    <w:p/>
    <w:p>
      <w:pPr>
        <w:sectPr>
          <w:pgSz w:w="15840" w:h="12240" w:orient="landscape"/>
          <w:pgMar w:top="1440" w:right="1800" w:bottom="1440" w:left="1800" w:header="720" w:footer="720" w:gutter="0"/>
          <w:cols w:space="720"/>
          <w:docGrid w:linePitch="360"/>
        </w:sectPr>
      </w:pPr>
    </w:p>
    <w:p>
      <w:r>
        <w:rPr>
          <w:i/>
        </w:rPr>
        <w:t>All models contain rotation, symptom duration, age and sex, so a child without a recorded degree of rotation (15 children) or without a parsable symptom duration (1 child) cannot be fitted. The entire source cohort of 414 therefore contributes 398 children to the corresponding row; none of the 16 children so excluded had bowel compromise. The primary analysis population is shown first.</w:t>
      </w:r>
    </w:p>
    <w:p>
      <w:pPr>
        <w:pStyle w:val="Heading1"/>
      </w:pPr>
      <w:r>
        <w:rPr>
          <w:rFonts w:ascii="Times New Roman" w:hAnsi="Times New Roman"/>
          <w:color w:val="000000"/>
        </w:rPr>
        <w:t>Supplementary material</w:t>
      </w:r>
    </w:p>
    <w:p>
      <w:r>
        <w:t xml:space="preserve">Supplementary Methods S1–S6 and Supplementary Tables S1–S4 are provided as separate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