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Cover letter</w:t>
      </w:r>
    </w:p>
    <w:p>
      <w:r>
        <w:rPr>
          <w:b/>
        </w:rPr>
        <w:t>To:</w:t>
      </w:r>
      <w:r>
        <w:t xml:space="preserve"> The Editors, </w:t>
      </w:r>
      <w:r>
        <w:rPr>
          <w:i/>
        </w:rPr>
        <w:t>European Journal of Pediatric Surgery</w:t>
      </w:r>
    </w:p>
    <w:p>
      <w:r>
        <w:rPr>
          <w:b/>
        </w:rPr>
        <w:t>Re:</w:t>
      </w:r>
      <w:r>
        <w:t xml:space="preserve"> Original article submission — </w:t>
      </w:r>
      <w:r>
        <w:rPr>
          <w:i/>
        </w:rPr>
        <w:t>Degree of rotation and duration of symptoms are independently associated with bowel compromise in children operated for acute midgut volvulus</w:t>
      </w:r>
    </w:p>
    <w:p>
      <w:r>
        <w:t>Dear Editors,</w:t>
      </w:r>
    </w:p>
    <w:p>
      <w:r>
        <w:t>We submit for your consideration a single-center retrospective cohort study of 287 children operated for acute midgut volvulus over thirteen consecutive years, which identifies two independent determinants of whether the bowel is viable at laparotomy — one of them known before the abdomen is opened, and pointing in the opposite direction to clinical intuition.</w:t>
      </w:r>
    </w:p>
    <w:p>
      <w:r>
        <w:rPr>
          <w:i/>
        </w:rPr>
        <w:t>The finding we would lead with.</w:t>
      </w:r>
      <w:r>
        <w:t xml:space="preserve"> The shorter the history, the more often the bowel was compromised. Bowel compromise was present in 52.6% of children operated within twelve hours of symptom onset and in 2.4% of those symptomatic for five to seven days; adjusted for rotation, age and sex, each doubling of symptom duration carried an odds ratio of 0.59 (95% CI 0.45–0.77). We do not read this as evidence that delay is safe, and the manuscript says so in as many words. The most economical explanation is that duration marks the physiology of the twist rather than a clock of accumulating injury: a complete, strangulating volvulus declares itself within hours, whereas a partial or intermittent one can persist for days precisely because it has not strangulated. The practical consequence runs against intuition — in a child with confirmed volvulus, a short history makes the dangerous twist more likely rather than less, and should raise rather than lower concern. Symptom duration is recorded on admission, before any operative finding is known, and is therefore available at the moment the decision is being made.</w:t>
      </w:r>
    </w:p>
    <w:p>
      <w:r>
        <w:rPr>
          <w:i/>
        </w:rPr>
        <w:t>The anatomical finding.</w:t>
      </w:r>
      <w:r>
        <w:t xml:space="preserve"> The degree of rotation showed a clean monotone gradient with bowel compromise — 0 of 15 below 360°, 9.4% at 360–539°, 22.2% at 540–719°, 43.5% at 720–1079° and 3 of 3 at ≥1080° — with an odds ratio of 1.66 (1.41–1.97) per additional 90°. Three prior series addressed this relationship directly and disagreed, containing five, three and eleven events; ours contains 63. Rotation and duration were uncorrelated (Spearman −0.07), did not interact (P = 0.785), and together gave an area under the curve of 0.813, 0.801 after bootstrap optimism correction. The rotation effect was essentially unchanged across eight alternative definitions of the analysis population. We make no claim that the angle can be measured preoperatively; its role here is to establish that the anatomy carries a strong graded signal and to quantify how much of the outcome it accounts for.</w:t>
      </w:r>
    </w:p>
    <w:p>
      <w:r>
        <w:rPr>
          <w:i/>
        </w:rPr>
        <w:t>A negative result we think worth publishing.</w:t>
      </w:r>
      <w:r>
        <w:t xml:space="preserve"> Preoperative C-reactive protein and the neutrophil count did carry information about the state of the bowel: in the 174 children with complete data the two jointly improved model fit (penalized likelihood ratio P = 0.005), although they changed discrimination little (ΔAUC +0.017). All of that information came from specimens that cannot be placed before the incision. Once specimens drawn on the day of surgery were excluded, the adjusted CRP odds ratio fell to 1.18 (0.70–1.89) and the likelihood ratio test, the change in discrimination and the integrated discrimination improvement all ceased to be significant together (P = 0.818, on the 17 events that remained). Two features of these data explain why: operative records carry no time of day, so a same-day specimen cannot be shown to have preceded the incision; and whether a CRP was ordered at all depended on the clinical picture, its availability ranging from 45% to 65% across the duration strata of the source cohort. Inflammatory markers were the primary exposure of an earlier version of this work, and we now report them as a clearly labeled negative secondary finding.</w:t>
      </w:r>
    </w:p>
    <w:p>
      <w:r>
        <w:rPr>
          <w:i/>
        </w:rPr>
        <w:t>Related submissions from the same database.</w:t>
      </w:r>
      <w:r>
        <w:t xml:space="preserve"> Two further manuscripts drawn from the same institutional malrotation database are under review elsewhere, and we disclose them so that you may judge any overlap. (i) A study of the real-world detection rates of ultrasound, CT and the upper gastrointestinal contrast series for intestinal malrotation, under review at </w:t>
      </w:r>
      <w:r>
        <w:rPr>
          <w:i/>
        </w:rPr>
        <w:t>Pediatric Radiology</w:t>
      </w:r>
      <w:r>
        <w:t xml:space="preserve">. (ii) A study of the adjudicated causes of unplanned reoperation after the Ladd procedure, under review at the </w:t>
      </w:r>
      <w:r>
        <w:rPr>
          <w:i/>
        </w:rPr>
        <w:t>Journal of Pediatric Surgery</w:t>
      </w:r>
      <w:r>
        <w:t>. The patient populations partly overlap, since all three draw on the same database and calendar period; the research questions, exposures and outcomes are entirely distinct, and neither of the other manuscripts reports the degree of rotation, the perfusion of the bowel, or any laboratory value. No result presented here appears in either of them.</w:t>
      </w:r>
    </w:p>
    <w:p>
      <w:r>
        <w:rPr>
          <w:i/>
        </w:rPr>
        <w:t>What we want a reviewer to read from us rather than find.</w:t>
      </w:r>
      <w:r>
        <w:t xml:space="preserve"> First, the restriction to acute midgut volvulus, the abstraction of symptom duration and the change of primary exposure were all introduced </w:t>
      </w:r>
      <w:r>
        <w:rPr>
          <w:b/>
        </w:rPr>
        <w:t>after</w:t>
      </w:r>
      <w:r>
        <w:t xml:space="preserve"> the statistical analysis plan of 28 July 2026 was finalized, and are not pre-specified; that plan governed a different analysis of these data. We label the rotation findings confirmatory of the earlier pre-specified dose–response analysis and the duration findings new and exploratory, and every change is listed with its date and reason in a supplementary table. Second, the degree of rotation and the state of the bowel are recorded by the same surgeon in the same operative note, so they are not measured independently; this would tend to strengthen rather than create the observed gradient, and settling it requires a series in which the two are recorded separately. Duration is not affected by this concern. Third, symptom duration is what the family reported on admission, not when the volvulus began.</w:t>
      </w:r>
    </w:p>
    <w:p>
      <w:r>
        <w:t>Fourth, and separately, re-examining the records uncovered an error of our own. Our presenting-symptom variables had been abstracted by keyword matching, and Chinese admission notes record negative findings routinely and often as coordinated lists, so a keyword search counts a denial as a positive. Of the records a keyword search called positive, 110 of 145 for abdominal distension and 63 of 95 for bloody stool proved to be explicit denials. The effect was not merely to add noise: two genuine associations had been diluted to nothing, one of them null on the earlier abstraction. Correctly abstracted, bloody stool and distension carry adjusted odds ratios of 5.95 (2.13–17.74) and 4.96 (1.92–13.11). We have not added them to the model — both are plausibly consequences of mucosal ischemia rather than antecedents of it, and we did not think it right to change the model a second time on a post hoc finding — and we report the episode in the Discussion as an illustration of how far negation alone can move a symptom–outcome association in work of this kind.</w:t>
      </w:r>
    </w:p>
    <w:p>
      <w:r>
        <w:rPr>
          <w:i/>
        </w:rPr>
        <w:t>Why this journal.</w:t>
      </w:r>
      <w:r>
        <w:t xml:space="preserve"> Your journal has published comparative clinical work on the volvulus subtypes in this age group, including Casalino and colleagues on neonatal segmental versus midgut volvulus (Eur J Pediatr Surg 2024;34:9–19), and we believe the readership that study addresses is the readership for which the present duration finding matters most — surgeons deciding how urgently to operate on a child whose history is short.</w:t>
      </w:r>
    </w:p>
    <w:p>
      <w:r>
        <w:rPr>
          <w:i/>
        </w:rPr>
        <w:t>What we do not claim.</w:t>
      </w:r>
      <w:r>
        <w:t xml:space="preserve"> No management strategy was compared, no post-operative course, resection length or second-look strategy was analyzed, and no external validation was performed. What the analysis supports is a risk statement, not a treatment rule, and the manuscript says so explicitly.</w:t>
      </w:r>
    </w:p>
    <w:p>
      <w:r>
        <w:t xml:space="preserve">The manuscript comprises 5,711 words of main text with a 250-word structured abstract, 21 references, 4 tables and 4 figures, together with supplementary material comprising 4 tables and a supplementary methods document of six sections. It is reported in accordance with the TRIPOD statement, and a completed TRIPOD checklist accompanies the submission.</w:t>
      </w:r>
    </w:p>
    <w:p>
      <w:r>
        <w:t>We confirm that this work is original, unpublished, and not under consideration elsewhere; that all authors have approved the submission; that the study was approved by the Ethics Committee of Wuhan Children's Hospital (Wuhan Maternal and Child Healthcare Hospital), Tongji Medical College, Huazhong University of Science &amp; Technology (approval no. 2026R018-E01), with individual informed consent waived owing to the retrospective design and the use of de-identified data; that the authors have no conflicts of interest; and that the study received no specific funding.</w:t>
      </w:r>
    </w:p>
    <w:p>
      <w:r>
        <w:t>We would be grateful for your consideration.</w:t>
      </w:r>
    </w:p>
    <w:p>
      <w:r>
        <w:t>Yours sincerely,</w:t>
      </w:r>
    </w:p>
    <w:p>
      <w:r>
        <w:rPr>
          <w:b/>
        </w:rPr>
        <w:t>Jun Yang</w:t>
      </w:r>
      <w:r>
        <w:t>, on behalf of all authors</w:t>
      </w:r>
    </w:p>
    <w:p>
      <w:r>
        <w:t>Department of General Surgery, Wuhan Children's Hospital (Wuhan Maternal and Child Healthcare Hospital),</w:t>
      </w:r>
    </w:p>
    <w:p>
      <w:r>
        <w:t>Tongji Medical College, Huazhong University of Science &amp; Technology, Wuhan 430016, Hubei Province, China</w:t>
      </w:r>
    </w:p>
    <w:p>
      <w:r>
        <w:t>Email: yjun201602@163.com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