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Times New Roman" w:hAnsi="Times New Roman"/>
          <w:color w:val="000000"/>
        </w:rPr>
        <w:t>TRIPOD Statement — checklist of items to include when reporting a study developing a multivariable prediction model</w:t>
      </w:r>
    </w:p>
    <w:p>
      <w:r>
        <w:rPr>
          <w:b/>
        </w:rPr>
        <w:t>Manuscript:</w:t>
      </w:r>
      <w:r>
        <w:t xml:space="preserve"> </w:t>
      </w:r>
      <w:r>
        <w:rPr>
          <w:i/>
        </w:rPr>
        <w:t>Degree of rotation and duration of symptoms are independently associated with bowel compromise in children operated for acute midgut volvulus</w:t>
      </w:r>
    </w:p>
    <w:p>
      <w:r>
        <w:rPr>
          <w:b/>
        </w:rPr>
        <w:t>TRIPOD type:</w:t>
      </w:r>
      <w:r>
        <w:t xml:space="preserve"> 1b — development only, with internal validation by bootstrap resampling (1000 resamples). No external, split-sample or temporal validation was performed, so items asking specifically about a separate validation data set are marked not applicable.</w:t>
      </w:r>
    </w:p>
    <w:p>
      <w:r>
        <w:rPr>
          <w:b/>
        </w:rPr>
        <w:t>Two qualifications the reader should carry through this checklist.</w:t>
      </w:r>
      <w:r>
        <w:t xml:space="preserve"> First, the manuscript is framed as an aetiological and risk-stratification study rather than as the development of a clinical prediction tool; it nevertheless fits, internally validates and reports the performance of a multivariable model, so it is reported against TRIPOD. Second, the model contains the degree of rotation, which is an </w:t>
      </w:r>
      <w:r>
        <w:rPr>
          <w:b/>
        </w:rPr>
        <w:t>intraoperative</w:t>
      </w:r>
      <w:r>
        <w:t xml:space="preserve"> observation. The model therefore stratifies risk once the abdomen is open; it is not, and is not offered as, a preoperative prediction model. The manuscript states this explicitly (</w:t>
      </w:r>
      <w:r>
        <w:rPr>
          <w:i/>
        </w:rPr>
        <w:t>Discussion — Clinical implications</w:t>
      </w:r>
      <w:r>
        <w:t>).</w:t>
      </w:r>
    </w:p>
    <w:p>
      <w:r>
        <w:t>Section references are to the named sections and subsections of the submitted manuscript. Where an item is only partly satisfied, that is stated rather than claimed.</w:t>
      </w:r>
    </w:p>
    <w:p>
      <w:pPr>
        <w:sectPr>
          <w:pgSz w:w="12240" w:h="15840"/>
          <w:pgMar w:top="1440" w:right="1800" w:bottom="1440" w:left="1800" w:header="720" w:footer="720" w:gutter="0"/>
          <w:cols w:space="720"/>
          <w:docGrid w:linePitch="360"/>
        </w:sectPr>
      </w:pP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2017"/>
        <w:gridCol w:w="9316"/>
      </w:tblGrid>
      <w:tr>
        <w:trPr>
          <w:tblHeader w:val="true"/>
        </w:trPr>
        <w:tc>
          <w:tcPr>
            <w:tcW w:type="dxa" w:w="90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Item No</w:t>
            </w:r>
          </w:p>
        </w:tc>
        <w:tc>
          <w:tcPr>
            <w:tcW w:type="dxa" w:w="2017"/>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Recommendation</w:t>
            </w:r>
          </w:p>
        </w:tc>
        <w:tc>
          <w:tcPr>
            <w:tcW w:type="dxa" w:w="9316"/>
            <w:tcBorders>
              <w:top w:val="single" w:sz="12" w:space="0" w:color="000000"/>
              <w:left w:val="nil" w:sz="4" w:space="0" w:color="000000"/>
              <w:bottom w:val="single" w:sz="6" w:space="0" w:color="000000"/>
              <w:right w:val="nil" w:sz="4" w:space="0" w:color="000000"/>
              <w:insideH w:val="nil" w:sz="4" w:space="0" w:color="000000"/>
              <w:insideV w:val="nil" w:sz="4" w:space="0" w:color="000000"/>
            </w:tcBorders>
          </w:tcPr>
          <w:p>
            <w:pPr>
              <w:spacing w:line="240" w:lineRule="auto"/>
            </w:pPr>
            <w:r>
              <w:rPr>
                <w:b/>
                <w:sz w:val="18"/>
              </w:rPr>
            </w:r>
            <w:r>
              <w:rPr>
                <w:b/>
                <w:sz w:val="18"/>
              </w:rPr>
              <w:t>Reported in</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Title and abstract</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Identify the study as developing and/or validating a multivariable prediction model, the target population, and the outcome to be predicted</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Partially.</w:t>
            </w:r>
            <w:r>
              <w:rPr>
                <w:sz w:val="18"/>
              </w:rPr>
              <w:t xml:space="preserve"> The title gives the target population (children operated for acute midgut volvulus) and the outcome (bowel compromise), but describes the study as one of association and does not use the words "prediction model". Development-only status and the absence of external validation are stated in </w:t>
            </w:r>
            <w:r>
              <w:rPr>
                <w:b/>
                <w:sz w:val="18"/>
              </w:rPr>
              <w:t>Methods, Statistical analysis</w:t>
            </w:r>
            <w:r>
              <w:rPr>
                <w:sz w:val="18"/>
              </w:rPr>
              <w:t xml:space="preserve"> and again in </w:t>
            </w:r>
            <w:r>
              <w:rPr>
                <w:b/>
                <w:sz w:val="18"/>
              </w:rPr>
              <w:t>Discussion, Limitations — Cohort and design</w:t>
            </w:r>
            <w:r>
              <w:rPr>
                <w:sz w:val="18"/>
              </w:rPr>
              <w:t xml:space="preserve"> ("the model is development-stage"). We have not altered the title, because presenting the paper as a prediction-model study would overstate what a model containing an intraoperative variable can offer</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Provide a summary of objectives, study design, setting, participants, sample size, predictors, outcome, statistical analysis, results, and conclusions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Abstract</w:t>
            </w:r>
            <w:r>
              <w:rPr>
                <w:sz w:val="18"/>
              </w:rPr>
              <w:t xml:space="preserve"> (structured; Introduction / Materials and Methods / Results / Conclusions)</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Introduction</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Explain the medical context and rationale, including references to existing models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Introduction</w:t>
            </w:r>
            <w:r>
              <w:rPr>
                <w:sz w:val="18"/>
              </w:rPr>
              <w:t>, paragraphs 1–4: clinical rationale; the three prior operative- and ultrasound-degree series</w:t>
            </w:r>
            <w:r>
              <w:rPr>
                <w:sz w:val="18"/>
                <w:vertAlign w:val="superscript"/>
              </w:rPr>
              <w:t>7-9</w:t>
            </w:r>
            <w:r>
              <w:rPr>
                <w:sz w:val="18"/>
              </w:rPr>
              <w:t>; the two imaging series concluding the angle is unhelpful</w:t>
            </w:r>
            <w:r>
              <w:rPr>
                <w:sz w:val="18"/>
                <w:vertAlign w:val="superscript"/>
              </w:rPr>
              <w:t>10,11</w:t>
            </w:r>
            <w:r>
              <w:rPr>
                <w:sz w:val="18"/>
              </w:rPr>
              <w:t>; the two existing preoperative laboratory models</w:t>
            </w:r>
            <w:r>
              <w:rPr>
                <w:sz w:val="18"/>
                <w:vertAlign w:val="superscript"/>
              </w:rPr>
              <w:t>14,17</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3b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Specify the objectives, including whether the study describes development or validation, or both</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Introduction</w:t>
            </w:r>
            <w:r>
              <w:rPr>
                <w:sz w:val="18"/>
              </w:rPr>
              <w:t>, final paragraph. Development only; no validation cohort exists for this question</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Methods</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the study design or source of data</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Setting and source cohort</w:t>
            </w:r>
            <w:r>
              <w:rPr>
                <w:sz w:val="18"/>
              </w:rPr>
              <w:t xml:space="preserve"> — retrospective single-center cohort assembled from the institutional intestinal malrotation database</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4b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Specify key study dates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Setting and source cohort</w:t>
            </w:r>
            <w:r>
              <w:rPr>
                <w:sz w:val="18"/>
              </w:rPr>
              <w:t xml:space="preserve"> — 29 December 2012 to 26 June 2026</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Specify key elements of the study setting, including number and location of centers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Setting and source cohort</w:t>
            </w:r>
            <w:r>
              <w:rPr>
                <w:sz w:val="18"/>
              </w:rPr>
              <w:t xml:space="preserve"> — single tertiary pediatric center, Wuhan Children's Hospital</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eligibility criteria for participants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Definition of the analysis population</w:t>
            </w:r>
            <w:r>
              <w:rPr>
                <w:sz w:val="18"/>
              </w:rPr>
              <w:t xml:space="preserve"> (volvulus confirmed at operation; current symptom episode ≤ 7 days; malrotation not incidental to surgery for another anomaly) and </w:t>
            </w:r>
            <w:r>
              <w:rPr>
                <w:b/>
                <w:sz w:val="18"/>
              </w:rPr>
              <w:t>Fig. 1</w:t>
            </w:r>
            <w:r>
              <w:rPr>
                <w:sz w:val="18"/>
              </w:rPr>
              <w:t>. The change from the previous keyword-assembled cohort, and the reason for it, are stated in the same section</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5c</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Give details of treatments received, if relevant</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applicable.</w:t>
            </w:r>
            <w:r>
              <w:rPr>
                <w:sz w:val="18"/>
              </w:rPr>
              <w:t xml:space="preserve"> The outcome is ascertained at the index operation itself rather than after a treatment course, so operative technique is not a variable of interest and is not described beyond the fact that an operation was performed</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Clearly define the outcome, including how and when assessed</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Outcome definition and adjudication</w:t>
            </w:r>
            <w:r>
              <w:rPr>
                <w:sz w:val="18"/>
              </w:rPr>
              <w:t xml:space="preserve"> — three-level a priori scale; primary outcome bowel compromise (levels 1–2 versus 0), key secondary outcome irreversible necrosis; adjudicated from the operative note of the index operation. Full manual in </w:t>
            </w:r>
            <w:r>
              <w:rPr>
                <w:b/>
                <w:sz w:val="18"/>
              </w:rPr>
              <w:t>Supplementary Methods S1</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6b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Report any actions to blind assessment of the outcome</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Outcome definition and adjudication.</w:t>
            </w:r>
            <w:r>
              <w:rPr>
                <w:sz w:val="18"/>
              </w:rPr>
              <w:t xml:space="preserve"> Manual adjudication was blinded to laboratory data. It could not be blinded to the degree of rotation, because both appear in the same operative note; this is reported as a limitation rather than as achieved blinding (</w:t>
            </w:r>
            <w:r>
              <w:rPr>
                <w:b/>
                <w:sz w:val="18"/>
              </w:rPr>
              <w:t>Discussion, Limitations — Shared source of exposure and outcome</w:t>
            </w:r>
            <w:r>
              <w:rPr>
                <w:sz w:val="18"/>
              </w:rPr>
              <w:t>)</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Clearly define all predictors, including how and when measured</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Degree of rotation</w:t>
            </w:r>
            <w:r>
              <w:rPr>
                <w:sz w:val="18"/>
              </w:rPr>
              <w:t xml:space="preserve"> (abstraction from the operative note, narrative conversions, reproducibility κ = 0.948); </w:t>
            </w:r>
            <w:r>
              <w:rPr>
                <w:b/>
                <w:sz w:val="18"/>
              </w:rPr>
              <w:t>Clinical context variables</w:t>
            </w:r>
            <w:r>
              <w:rPr>
                <w:sz w:val="18"/>
              </w:rPr>
              <w:t xml:space="preserve"> (symptom duration from the admission chief complaint, with parsing rules in </w:t>
            </w:r>
            <w:r>
              <w:rPr>
                <w:b/>
                <w:sz w:val="18"/>
              </w:rPr>
              <w:t>Supplementary Methods S2</w:t>
            </w:r>
            <w:r>
              <w:rPr>
                <w:sz w:val="18"/>
              </w:rPr>
              <w:t>); age and sex from the admission record. Of the four predictors, three are available before operation and the degree of rotation is not</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7b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Report any actions to blind assessment of predictors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blinded for the degree of rotation</w:t>
            </w:r>
            <w:r>
              <w:rPr>
                <w:sz w:val="18"/>
              </w:rPr>
              <w:t>, and explicitly reported as such: the same surgeon records the rotation and the state of the bowel in the same note, which would tend to strengthen the observed gradient (</w:t>
            </w:r>
            <w:r>
              <w:rPr>
                <w:b/>
                <w:sz w:val="18"/>
              </w:rPr>
              <w:t>Discussion, Limitations — Shared source of exposure and outcome</w:t>
            </w:r>
            <w:r>
              <w:rPr>
                <w:sz w:val="18"/>
              </w:rPr>
              <w:t>). Duration is not affected, being recorded on admission before any operative finding is known. Age and sex are not subject to assessor judgment</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8</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Explain how the study size was arrived at</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Partially.</w:t>
            </w:r>
            <w:r>
              <w:rPr>
                <w:sz w:val="18"/>
              </w:rPr>
              <w:t xml:space="preserve"> The cohort comprises all eligible children over a fixed 13-year period; there was no a priori sample-size calculation, and we do not claim one. </w:t>
            </w:r>
            <w:r>
              <w:rPr>
                <w:b/>
                <w:sz w:val="18"/>
              </w:rPr>
              <w:t>Statistical analysis</w:t>
            </w:r>
            <w:r>
              <w:rPr>
                <w:sz w:val="18"/>
              </w:rPr>
              <w:t xml:space="preserve"> reports the events-per-parameter ratio (63 events, four parameters, 15.8) and applies the criteria of Riley et al.</w:t>
            </w:r>
            <w:r>
              <w:rPr>
                <w:sz w:val="18"/>
                <w:vertAlign w:val="superscript"/>
              </w:rPr>
              <w:t>19</w:t>
            </w:r>
            <w:r>
              <w:rPr>
                <w:sz w:val="18"/>
              </w:rPr>
              <w:t xml:space="preserve"> to the model actually fitted — using a shrinkage-corrected Cox–Snell R² of 0.186 rather than the optimistic apparent value, 173, 51 and 263 participants are required against 287 available, so the binding criterion is met. Applying those criteria after fitting is itself post hoc and is described as such</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9</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how missing data were handled</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Preoperative laboratory variables</w:t>
            </w:r>
            <w:r>
              <w:rPr>
                <w:sz w:val="18"/>
              </w:rPr>
              <w:t xml:space="preserve"> and </w:t>
            </w:r>
            <w:r>
              <w:rPr>
                <w:b/>
                <w:sz w:val="18"/>
              </w:rPr>
              <w:t>Supplementary Methods S4</w:t>
            </w:r>
            <w:r>
              <w:rPr>
                <w:sz w:val="18"/>
              </w:rPr>
              <w:t>. The four predictors of the primary model are essentially complete (duration unparsable in 1 of 414). CRP was unavailable in 107 of 287 (37.3%) and the neutrophil count in 17 (5.9%); the secondary marker analyses used complete cases. Multiple imputation was deliberately not used, because whether a test was ordered depended on the clinical presentation and missingness cannot be taken to be at random; the reasoning is given in S4</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how predictors were handled in the analyses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Statistical analysis</w:t>
            </w:r>
            <w:r>
              <w:rPr>
                <w:sz w:val="18"/>
              </w:rPr>
              <w:t xml:space="preserve"> and </w:t>
            </w:r>
            <w:r>
              <w:rPr>
                <w:b/>
                <w:sz w:val="18"/>
              </w:rPr>
              <w:t>Degree of rotation</w:t>
            </w:r>
            <w:r>
              <w:rPr>
                <w:sz w:val="18"/>
              </w:rPr>
              <w:t xml:space="preserve"> — rotation per 90° (continuous) and displayed across pre-specified strata; symptom duration as log2(hours); age in months; sex binary. No predictor was dichotomized for the model, and no data-driven threshold enters it</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Specify the type of model, all model-building procedures, and the method for internal validation</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Statistical analysis.</w:t>
            </w:r>
            <w:r>
              <w:rPr>
                <w:sz w:val="18"/>
              </w:rPr>
              <w:t xml:space="preserve"> Firth penalized logistic regression</w:t>
            </w:r>
            <w:r>
              <w:rPr>
                <w:sz w:val="18"/>
                <w:vertAlign w:val="superscript"/>
              </w:rPr>
              <w:t>18</w:t>
            </w:r>
            <w:r>
              <w:rPr>
                <w:sz w:val="18"/>
              </w:rPr>
              <w:t xml:space="preserve"> with profile penalized-likelihood intervals; internal validation by bootstrap (1000 resamples) for the optimism-corrected AUC and calibration slope. No stepwise or data-driven variable selection was used: the four variables were fixed in advance of fitting. </w:t>
            </w:r>
            <w:r>
              <w:rPr>
                <w:b/>
                <w:sz w:val="18"/>
              </w:rPr>
              <w:t>However, they were not pre-specified in the sense TRIPOD intends</w:t>
            </w:r>
            <w:r>
              <w:rPr>
                <w:sz w:val="18"/>
              </w:rPr>
              <w:t xml:space="preserve"> — the analysis plan of 28 July 2026 governed a different model, and the restriction of the population, the abstraction of duration and the change of primary exposure were all introduced after that plan was finalized. This is stated in </w:t>
            </w:r>
            <w:r>
              <w:rPr>
                <w:b/>
                <w:sz w:val="18"/>
              </w:rPr>
              <w:t>Statistical analysis — Relation to the previous analysis plan</w:t>
            </w:r>
            <w:r>
              <w:rPr>
                <w:sz w:val="18"/>
              </w:rPr>
              <w:t xml:space="preserve"> and every change is logged with its date and reason in </w:t>
            </w:r>
            <w:r>
              <w:rPr>
                <w:b/>
                <w:sz w:val="18"/>
              </w:rPr>
              <w:t>Table S4</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10c</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For validation, describe how the predictions were calculated</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applicable</w:t>
            </w:r>
            <w:r>
              <w:rPr>
                <w:sz w:val="18"/>
              </w:rPr>
              <w:t xml:space="preserve"> — no separate validation data set (TRIPOD type 1b)</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10d</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Specify all measures used to assess model performance</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Statistical analysis</w:t>
            </w:r>
            <w:r>
              <w:rPr>
                <w:sz w:val="18"/>
              </w:rPr>
              <w:t xml:space="preserve"> — AUC with DeLong confidence intervals</w:t>
            </w:r>
            <w:r>
              <w:rPr>
                <w:sz w:val="18"/>
                <w:vertAlign w:val="superscript"/>
              </w:rPr>
              <w:t>20</w:t>
            </w:r>
            <w:r>
              <w:rPr>
                <w:sz w:val="18"/>
              </w:rPr>
              <w:t xml:space="preserve"> and the DeLong test for model comparison; calibration intercept, slope and Brier score; optimism-corrected AUC and calibration slope by bootstrap; integrated discrimination improvement</w:t>
            </w:r>
            <w:r>
              <w:rPr>
                <w:sz w:val="18"/>
                <w:vertAlign w:val="superscript"/>
              </w:rPr>
              <w:t>21</w:t>
            </w:r>
            <w:r>
              <w:rPr>
                <w:sz w:val="18"/>
              </w:rPr>
              <w:t xml:space="preserve"> for the incremental value of the markers. Sensitivity, specificity, predictive values and likelihood ratios are reported at a single illustrative cut-point</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10e</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any model updating arising from validation</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applicable</w:t>
            </w:r>
            <w:r>
              <w:rPr>
                <w:sz w:val="18"/>
              </w:rPr>
              <w:t xml:space="preserve"> — no external validation was performed that could prompt recalibration</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11</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Provide details on how risk groups were created, if done</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applicable.</w:t>
            </w:r>
            <w:r>
              <w:rPr>
                <w:sz w:val="18"/>
              </w:rPr>
              <w:t xml:space="preserve"> The model outputs a continuous predicted probability. A single Youden-derived cut-point (predicted probability 0.270) is reported to convey the accuracy achievable, and the manuscript states in the same paragraph that it is optimistic because it was chosen in these data. No low/intermediate/high risk groups were created and none is proposed</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12</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For validation, identify any differences from the development data</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applicable</w:t>
            </w:r>
            <w:r>
              <w:rPr>
                <w:sz w:val="18"/>
              </w:rPr>
              <w:t xml:space="preserve"> — no separate validation data set</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Results</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the flow of participants, including the number with and without the outcome</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Fig. 1</w:t>
            </w:r>
            <w:r>
              <w:rPr>
                <w:sz w:val="18"/>
              </w:rPr>
              <w:t xml:space="preserve"> and </w:t>
            </w:r>
            <w:r>
              <w:rPr>
                <w:b/>
                <w:sz w:val="18"/>
              </w:rPr>
              <w:t>Results — Source cohort / Acute midgut volvulus cohort</w:t>
            </w:r>
            <w:r>
              <w:rPr>
                <w:sz w:val="18"/>
              </w:rPr>
              <w:t>: 711 in the database → 499 operated → 414 index operations → 287 after the three restrictions; 63 with bowel compromise, 19 with irreversible necrosis. Follow-up time does not apply: the outcome is ascertained at the same operation that supplies the degree of rotation</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Describe participant characteristics, including missing data for predictors and outcome</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Table 1</w:t>
            </w:r>
            <w:r>
              <w:rPr>
                <w:sz w:val="18"/>
              </w:rPr>
              <w:t xml:space="preserve"> (source cohort, by indication and presenting features) and </w:t>
            </w:r>
            <w:r>
              <w:rPr>
                <w:b/>
                <w:sz w:val="18"/>
              </w:rPr>
              <w:t>Table 2</w:t>
            </w:r>
            <w:r>
              <w:rPr>
                <w:sz w:val="18"/>
              </w:rPr>
              <w:t xml:space="preserve"> (the 287, by outcome). Outcome missing in 0 of 287. Missing values for laboratory variables are given per variable. The presenting features in both tables are reported descriptively and do not enter the model; how they were abstracted, and how explicit denials were separated from features simply not described, is set out in </w:t>
            </w:r>
            <w:r>
              <w:rPr>
                <w:b/>
                <w:sz w:val="18"/>
              </w:rPr>
              <w:t>Supplementary Methods S3</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13c</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For validation, show a comparison with the development data</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applicable</w:t>
            </w:r>
            <w:r>
              <w:rPr>
                <w:sz w:val="18"/>
              </w:rPr>
              <w:t xml:space="preserve"> — no separate validation data set</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Specify the number of participants and outcome events in each analysis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 xml:space="preserve">Stated with every analysis: </w:t>
            </w:r>
            <w:r>
              <w:rPr>
                <w:b/>
                <w:sz w:val="18"/>
              </w:rPr>
              <w:t>Table 3</w:t>
            </w:r>
            <w:r>
              <w:rPr>
                <w:sz w:val="18"/>
              </w:rPr>
              <w:t xml:space="preserve"> (n = 287, 63 events); </w:t>
            </w:r>
            <w:r>
              <w:rPr>
                <w:b/>
                <w:sz w:val="18"/>
              </w:rPr>
              <w:t>Results — Inflammatory markers</w:t>
            </w:r>
            <w:r>
              <w:rPr>
                <w:sz w:val="18"/>
              </w:rPr>
              <w:t xml:space="preserve"> (174 with complete data, 38 events; 122 after excluding same-day specimens); </w:t>
            </w:r>
            <w:r>
              <w:rPr>
                <w:b/>
                <w:sz w:val="18"/>
              </w:rPr>
              <w:t>Table 4</w:t>
            </w:r>
            <w:r>
              <w:rPr>
                <w:sz w:val="18"/>
              </w:rPr>
              <w:t xml:space="preserve"> and </w:t>
            </w:r>
            <w:r>
              <w:rPr>
                <w:b/>
                <w:sz w:val="18"/>
              </w:rPr>
              <w:t>Table S3</w:t>
            </w:r>
            <w:r>
              <w:rPr>
                <w:sz w:val="18"/>
              </w:rPr>
              <w:t xml:space="preserve"> give n and events for each sensitivity analysis</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14b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If done, report the unadjusted association between each candidate predictor and outcome</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Table S2</w:t>
            </w:r>
            <w:r>
              <w:rPr>
                <w:sz w:val="18"/>
              </w:rPr>
              <w:t xml:space="preserve"> (univariable associations in the acute cohort); </w:t>
            </w:r>
            <w:r>
              <w:rPr>
                <w:b/>
                <w:sz w:val="18"/>
              </w:rPr>
              <w:t>Results — Rotation and bowel compromise</w:t>
            </w:r>
            <w:r>
              <w:rPr>
                <w:sz w:val="18"/>
              </w:rPr>
              <w:t xml:space="preserve"> and </w:t>
            </w:r>
            <w:r>
              <w:rPr>
                <w:b/>
                <w:sz w:val="18"/>
              </w:rPr>
              <w:t>Symptom duration and bowel compromise</w:t>
            </w:r>
            <w:r>
              <w:rPr>
                <w:sz w:val="18"/>
              </w:rPr>
              <w:t xml:space="preserve"> give the unadjusted odds ratio and AUC for each of the two main predictors separately (1.66 per 90°, AUC 0.753; 0.64 per doubling, AUC 0.661)</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Present the full prediction model to allow predictions for individuals (all regression coefficients and the model intercept)</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Table 3, footnote</w:t>
            </w:r>
            <w:r>
              <w:rPr>
                <w:sz w:val="18"/>
              </w:rPr>
              <w:t xml:space="preserve"> — the fitted model is given on the logit scale with its intercept and all four coefficients, together with the units of each variable and the transformation to a predicted probability. Odds ratios with profile-likelihood intervals are in the body of the table</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15b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Explain how to use the prediction model</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Table 3, footnote</w:t>
            </w:r>
            <w:r>
              <w:rPr>
                <w:sz w:val="18"/>
              </w:rPr>
              <w:t xml:space="preserve"> (predicted probability = 1/(1 + e^−logit)) and </w:t>
            </w:r>
            <w:r>
              <w:rPr>
                <w:b/>
                <w:sz w:val="18"/>
              </w:rPr>
              <w:t>Results — Multivariable model</w:t>
            </w:r>
            <w:r>
              <w:rPr>
                <w:sz w:val="18"/>
              </w:rPr>
              <w:t xml:space="preserve"> (the illustrative cut-point and its accuracy). The footnote and the Discussion both state that the model is development-stage and not externally validated, and the Discussion states that the analysis supports a risk statement rather than a management rule</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16</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Report performance measures (with CIs) for the prediction model</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Table 3</w:t>
            </w:r>
            <w:r>
              <w:rPr>
                <w:sz w:val="18"/>
              </w:rPr>
              <w:t xml:space="preserve"> and </w:t>
            </w:r>
            <w:r>
              <w:rPr>
                <w:b/>
                <w:sz w:val="18"/>
              </w:rPr>
              <w:t>Results — Multivariable model</w:t>
            </w:r>
            <w:r>
              <w:rPr>
                <w:sz w:val="18"/>
              </w:rPr>
              <w:t xml:space="preserve">: AUC 0.813 (0.749–0.876), optimism-corrected 0.801 (0.740–0.865); calibration intercept −0.028, apparent slope 1.032, corrected slope 0.971; Brier score 0.129. Calibration is displayed in </w:t>
            </w:r>
            <w:r>
              <w:rPr>
                <w:b/>
                <w:sz w:val="18"/>
              </w:rPr>
              <w:t>Fig. 4</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17</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If done, report the results from any model updating</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applicable</w:t>
            </w:r>
            <w:r>
              <w:rPr>
                <w:sz w:val="18"/>
              </w:rPr>
              <w:t xml:space="preserve"> — no model updating was performed</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Discussion</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18</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Discuss any limitations of the model (such as non-representative sample, few events per predictor, missing data)</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Discussion, Limitations</w:t>
            </w:r>
            <w:r>
              <w:rPr>
                <w:sz w:val="18"/>
              </w:rPr>
              <w:t xml:space="preserve">, in five labeled parts: </w:t>
            </w:r>
            <w:r>
              <w:rPr>
                <w:i/>
                <w:sz w:val="18"/>
              </w:rPr>
              <w:t>Cohort and design</w:t>
            </w:r>
            <w:r>
              <w:rPr>
                <w:sz w:val="18"/>
              </w:rPr>
              <w:t xml:space="preserve"> (reference standard exists only for operated children, so 212 admitted without surgery are outside the estimates; single center; no external validation; the population restriction is post-review and not pre-specified); </w:t>
            </w:r>
            <w:r>
              <w:rPr>
                <w:i/>
                <w:sz w:val="18"/>
              </w:rPr>
              <w:t>Duration</w:t>
            </w:r>
            <w:r>
              <w:rPr>
                <w:sz w:val="18"/>
              </w:rPr>
              <w:t xml:space="preserve"> (family-reported, recall, the current-episode decision); </w:t>
            </w:r>
            <w:r>
              <w:rPr>
                <w:i/>
                <w:sz w:val="18"/>
              </w:rPr>
              <w:t>Indication</w:t>
            </w:r>
            <w:r>
              <w:rPr>
                <w:sz w:val="18"/>
              </w:rPr>
              <w:t xml:space="preserve"> (derived retrospectively from record text); </w:t>
            </w:r>
            <w:r>
              <w:rPr>
                <w:i/>
                <w:sz w:val="18"/>
              </w:rPr>
              <w:t>Shared source of exposure and outcome</w:t>
            </w:r>
            <w:r>
              <w:rPr>
                <w:sz w:val="18"/>
              </w:rPr>
              <w:t xml:space="preserve"> (rotation and bowel state recorded by the same surgeon in the same note); </w:t>
            </w:r>
            <w:r>
              <w:rPr>
                <w:i/>
                <w:sz w:val="18"/>
              </w:rPr>
              <w:t>The analysis</w:t>
            </w:r>
            <w:r>
              <w:rPr>
                <w:sz w:val="18"/>
              </w:rPr>
              <w:t xml:space="preserve"> (only the rotation model is confirmatory, no multiplicity correction, 19 necrosis events examined univariably only, 42% of source-cohort outcomes retained algorithmic labels on an audit containing only 14 positive records). A sixth part, </w:t>
            </w:r>
            <w:r>
              <w:rPr>
                <w:i/>
                <w:sz w:val="18"/>
              </w:rPr>
              <w:t>Symptom abstraction</w:t>
            </w:r>
            <w:r>
              <w:rPr>
                <w:sz w:val="18"/>
              </w:rPr>
              <w:t xml:space="preserve">, records that our first attempt at abstracting the presenting features was wrong and that one misclassification is known to remain; the episode itself is set out in the Discussion section </w:t>
            </w:r>
            <w:r>
              <w:rPr>
                <w:b/>
                <w:sz w:val="18"/>
              </w:rPr>
              <w:t>Negation in free-text symptom abstraction</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19a</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For validation, discuss the results with reference to performance in the development data</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Not applicable</w:t>
            </w:r>
            <w:r>
              <w:rPr>
                <w:sz w:val="18"/>
              </w:rPr>
              <w:t xml:space="preserve"> — no external validation</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19b</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Give an overall interpretation of the results, considering objectives, limitations, results from similar studies, and other relevant evidence</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Discussion</w:t>
            </w:r>
            <w:r>
              <w:rPr>
                <w:sz w:val="18"/>
              </w:rPr>
              <w:t xml:space="preserve">, opening paragraph and the sections </w:t>
            </w:r>
            <w:r>
              <w:rPr>
                <w:i/>
                <w:sz w:val="18"/>
              </w:rPr>
              <w:t>Interpretation of the duration effect</w:t>
            </w:r>
            <w:r>
              <w:rPr>
                <w:sz w:val="18"/>
              </w:rPr>
              <w:t xml:space="preserve">, </w:t>
            </w:r>
            <w:r>
              <w:rPr>
                <w:i/>
                <w:sz w:val="18"/>
              </w:rPr>
              <w:t>Sources of disagreement in the earlier literature</w:t>
            </w:r>
            <w:r>
              <w:rPr>
                <w:sz w:val="18"/>
              </w:rPr>
              <w:t xml:space="preserve"> (which advances cohort definition as a third explanation for the disagreement among prior series, alongside measurement error and event count) and </w:t>
            </w:r>
            <w:r>
              <w:rPr>
                <w:i/>
                <w:sz w:val="18"/>
              </w:rPr>
              <w:t>Inflammatory markers</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20</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Discuss the potential clinical use of the model and implications for future research</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Discussion — Clinical implications</w:t>
            </w:r>
            <w:r>
              <w:rPr>
                <w:sz w:val="18"/>
              </w:rPr>
              <w:t xml:space="preserve"> (the model stratifies risk once the abdomen is open; no management strategy was compared; no post-operative course or second-look strategy was analyzed) and </w:t>
            </w:r>
            <w:r>
              <w:rPr>
                <w:b/>
                <w:sz w:val="18"/>
              </w:rPr>
              <w:t>Conclusion</w:t>
            </w:r>
            <w:r>
              <w:rPr>
                <w:sz w:val="18"/>
              </w:rPr>
              <w:t xml:space="preserve"> (both findings require confirmation in a series where rotation and bowel state are recorded independently)</w:t>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Other information</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p>
        </w:tc>
      </w:tr>
      <w:tr>
        <w:tc>
          <w:tcPr>
            <w:tcW w:type="dxa" w:w="90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21</w:t>
            </w:r>
          </w:p>
        </w:tc>
        <w:tc>
          <w:tcPr>
            <w:tcW w:type="dxa" w:w="2017"/>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sz w:val="18"/>
              </w:rPr>
              <w:t>Provide information about the availability of supplementary resources, such as study protocol, Web calculator, and data sets</w:t>
            </w:r>
          </w:p>
        </w:tc>
        <w:tc>
          <w:tcPr>
            <w:tcW w:type="dxa" w:w="9316"/>
            <w:tcBorders>
              <w:top w:val="nil" w:sz="4" w:space="0" w:color="000000"/>
              <w:left w:val="nil" w:sz="4" w:space="0" w:color="000000"/>
              <w:bottom w:val="nil" w:sz="4" w:space="0" w:color="000000"/>
              <w:right w:val="nil" w:sz="4" w:space="0" w:color="000000"/>
              <w:insideH w:val="nil" w:sz="4" w:space="0" w:color="000000"/>
              <w:insideV w:val="nil" w:sz="4" w:space="0" w:color="000000"/>
            </w:tcBorders>
          </w:tcPr>
          <w:p>
            <w:pPr>
              <w:spacing w:line="240" w:lineRule="auto"/>
            </w:pPr>
            <w:r>
              <w:rPr>
                <w:sz w:val="18"/>
              </w:rPr>
            </w:r>
            <w:r>
              <w:rPr>
                <w:b/>
                <w:sz w:val="18"/>
              </w:rPr>
              <w:t>Declarations — Data availability</w:t>
            </w:r>
            <w:r>
              <w:rPr>
                <w:sz w:val="18"/>
              </w:rPr>
              <w:t xml:space="preserve"> (de-identified dataset, analysis code and the statistical analysis plan with its amendment log, available from the corresponding author on reasonable request). </w:t>
            </w:r>
            <w:r>
              <w:rPr>
                <w:b/>
                <w:sz w:val="18"/>
              </w:rPr>
              <w:t>Supplementary Methods S1–S5</w:t>
            </w:r>
            <w:r>
              <w:rPr>
                <w:sz w:val="18"/>
              </w:rPr>
              <w:t xml:space="preserve"> and </w:t>
            </w:r>
            <w:r>
              <w:rPr>
                <w:b/>
                <w:sz w:val="18"/>
              </w:rPr>
              <w:t>Tables S1–S4</w:t>
            </w:r>
            <w:r>
              <w:rPr>
                <w:sz w:val="18"/>
              </w:rPr>
              <w:t xml:space="preserve"> accompany the manuscript. No web calculator is provided, deliberately: the model is development-stage and contains an intraoperative variable</w:t>
            </w:r>
          </w:p>
        </w:tc>
      </w:tr>
      <w:tr>
        <w:tc>
          <w:tcPr>
            <w:tcW w:type="dxa" w:w="90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22</w:t>
            </w:r>
          </w:p>
        </w:tc>
        <w:tc>
          <w:tcPr>
            <w:tcW w:type="dxa" w:w="2017"/>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sz w:val="18"/>
              </w:rPr>
              <w:t>Give the source of funding and the role of the funders for the present study</w:t>
            </w:r>
          </w:p>
        </w:tc>
        <w:tc>
          <w:tcPr>
            <w:tcW w:type="dxa" w:w="9316"/>
            <w:tcBorders>
              <w:top w:val="nil" w:sz="4" w:space="0" w:color="000000"/>
              <w:left w:val="nil" w:sz="4" w:space="0" w:color="000000"/>
              <w:bottom w:val="single" w:sz="12" w:space="0" w:color="000000"/>
              <w:right w:val="nil" w:sz="4" w:space="0" w:color="000000"/>
              <w:insideH w:val="nil" w:sz="4" w:space="0" w:color="000000"/>
              <w:insideV w:val="nil" w:sz="4" w:space="0" w:color="000000"/>
            </w:tcBorders>
          </w:tcPr>
          <w:p>
            <w:pPr>
              <w:spacing w:line="240" w:lineRule="auto"/>
            </w:pPr>
            <w:r>
              <w:rPr>
                <w:sz w:val="18"/>
              </w:rPr>
            </w:r>
            <w:r>
              <w:rPr>
                <w:b/>
                <w:sz w:val="18"/>
              </w:rPr>
              <w:t>Declarations — Funding</w:t>
            </w:r>
            <w:r>
              <w:rPr>
                <w:sz w:val="18"/>
              </w:rPr>
              <w:t>: no specific grant from any funding agency in the public, commercial or not-for-profit sectors</w:t>
            </w:r>
          </w:p>
        </w:tc>
      </w:tr>
    </w:tbl>
    <w:p/>
    <w:p>
      <w:pPr>
        <w:sectPr>
          <w:pgSz w:w="15840" w:h="12240" w:orient="landscape"/>
          <w:pgMar w:top="1440" w:right="1800" w:bottom="1440" w:left="1800" w:header="720" w:footer="720" w:gutter="0"/>
          <w:cols w:space="720"/>
          <w:docGrid w:linePitch="360"/>
        </w:sectPr>
      </w:pPr>
    </w:p>
    <w:p>
      <w:pPr>
        <w:pStyle w:val="Heading1"/>
      </w:pPr>
      <w:r>
        <w:rPr>
          <w:rFonts w:ascii="Times New Roman" w:hAnsi="Times New Roman"/>
          <w:color w:val="000000"/>
        </w:rPr>
        <w:t>Items we draw the editor's attention to</w:t>
      </w:r>
    </w:p>
    <w:p>
      <w:r>
        <w:t>Three items are satisfied only in a qualified sense, and we would rather state them here than have them inferred.</w:t>
      </w:r>
    </w:p>
    <w:p>
      <w:r>
        <w:rPr>
          <w:b/>
        </w:rPr>
        <w:t>Item 1 — the study is not titled as a prediction-model study.</w:t>
      </w:r>
      <w:r>
        <w:t xml:space="preserve"> It is reported against TRIPOD because it develops and internally validates a multivariable model, but its claim is about association and risk stratification. A title promising a prediction model would misdescribe a model whose strongest variable is only observable after the incision.</w:t>
      </w:r>
    </w:p>
    <w:p>
      <w:r>
        <w:rPr>
          <w:b/>
        </w:rPr>
        <w:t>Item 10b — the predictors were fixed before fitting, but the model is not pre-specified.</w:t>
      </w:r>
      <w:r>
        <w:t xml:space="preserve"> The statistical analysis plan of 28 July 2026 governed an earlier analysis of a differently assembled cohort with preoperative inflammatory markers as the exposure of interest. The restriction to acute midgut volvulus, the abstraction of symptom duration, and the change of primary exposure were all introduced after that plan was finalized. The rotation findings replicate a pre-specified dose–response analysis and are labeled confirmatory; the duration findings are new and are labeled exploratory throughout.</w:t>
      </w:r>
    </w:p>
    <w:p>
      <w:r>
        <w:rPr>
          <w:b/>
        </w:rPr>
        <w:t>Item 8 — there was no a priori sample size calculation.</w:t>
      </w:r>
      <w:r>
        <w:t xml:space="preserve"> The Riley criteria are applied to the model actually fitted, using its observed outcome proportion and apparent Cox–Snell R². This establishes that the available sample is adequate for the model reported; it is not a prospective justification of the sample size, and is not presented as 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