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0000"/>
          <w:sz w:val="24"/>
        </w:rPr>
        <w:t>Supplementary Tables</w:t>
      </w:r>
    </w:p>
    <w:p/>
    <w:p>
      <w:pPr>
        <w:spacing w:after="80"/>
      </w:pPr>
      <w:r>
        <w:rPr>
          <w:b/>
          <w:sz w:val="19"/>
        </w:rPr>
        <w:t xml:space="preserve">Table S1  </w:t>
      </w:r>
      <w:r>
        <w:rPr>
          <w:sz w:val="19"/>
        </w:rPr>
        <w:t>Bowel compromise by degree of rotation within strata of symptom duration</w:t>
      </w:r>
    </w:p>
    <w:tbl>
      <w:tblPr>
        <w:tblW w:type="auto" w:w="0"/>
        <w:jc w:val="center"/>
        <w:tblLayout w:type="autofit"/>
        <w:tblLook w:firstColumn="1" w:firstRow="1" w:lastColumn="0" w:lastRow="0" w:noHBand="0" w:noVBand="1" w:val="04A0"/>
      </w:tblPr>
      <w:tblGrid>
        <w:gridCol w:w="2880"/>
        <w:gridCol w:w="2880"/>
        <w:gridCol w:w="2880"/>
      </w:tblGrid>
      <w:tr>
        <w:tc>
          <w:tcPr>
            <w:tcW w:type="dxa" w:w="2880"/>
            <w:tcBorders>
              <w:top w:val="single" w:sz="12" w:color="000000"/>
              <w:bottom w:val="single" w:sz="8" w:color="000000"/>
            </w:tcBorders>
          </w:tcPr>
          <w:p>
            <w:pPr>
              <w:spacing w:before="30" w:after="30"/>
              <w:jc w:val="left"/>
            </w:pPr>
            <w:r/>
            <w:r>
              <w:rPr>
                <w:b/>
                <w:sz w:val="17"/>
              </w:rPr>
              <w:t>Degree of rotation</w:t>
            </w:r>
          </w:p>
        </w:tc>
        <w:tc>
          <w:tcPr>
            <w:tcW w:type="dxa" w:w="2880"/>
            <w:tcBorders>
              <w:top w:val="single" w:sz="12" w:color="000000"/>
              <w:bottom w:val="single" w:sz="8" w:color="000000"/>
            </w:tcBorders>
          </w:tcPr>
          <w:p>
            <w:pPr>
              <w:spacing w:before="30" w:after="30"/>
              <w:jc w:val="center"/>
            </w:pPr>
            <w:r/>
            <w:r>
              <w:rPr>
                <w:b/>
                <w:sz w:val="17"/>
              </w:rPr>
              <w:t>≤48 h</w:t>
            </w:r>
          </w:p>
        </w:tc>
        <w:tc>
          <w:tcPr>
            <w:tcW w:type="dxa" w:w="2880"/>
            <w:tcBorders>
              <w:top w:val="single" w:sz="12" w:color="000000"/>
              <w:bottom w:val="single" w:sz="8" w:color="000000"/>
            </w:tcBorders>
          </w:tcPr>
          <w:p>
            <w:pPr>
              <w:spacing w:before="30" w:after="30"/>
              <w:jc w:val="center"/>
            </w:pPr>
            <w:r/>
            <w:r>
              <w:rPr>
                <w:b/>
                <w:sz w:val="17"/>
              </w:rPr>
              <w:t>&gt;48 h to 7 days</w:t>
            </w:r>
          </w:p>
        </w:tc>
      </w:tr>
      <w:tr>
        <w:tc>
          <w:tcPr>
            <w:tcW w:type="dxa" w:w="2880"/>
          </w:tcPr>
          <w:p>
            <w:pPr>
              <w:spacing w:before="30" w:after="30"/>
              <w:jc w:val="left"/>
            </w:pPr>
            <w:r/>
            <w:r>
              <w:rPr>
                <w:sz w:val="17"/>
              </w:rPr>
              <w:t>&lt;360°</w:t>
            </w:r>
          </w:p>
        </w:tc>
        <w:tc>
          <w:tcPr>
            <w:tcW w:type="dxa" w:w="2880"/>
          </w:tcPr>
          <w:p>
            <w:pPr>
              <w:spacing w:before="30" w:after="30"/>
              <w:jc w:val="center"/>
            </w:pPr>
            <w:r/>
            <w:r>
              <w:rPr>
                <w:sz w:val="17"/>
              </w:rPr>
              <w:t>0/6 (0.0)</w:t>
            </w:r>
          </w:p>
        </w:tc>
        <w:tc>
          <w:tcPr>
            <w:tcW w:type="dxa" w:w="2880"/>
          </w:tcPr>
          <w:p>
            <w:pPr>
              <w:spacing w:before="30" w:after="30"/>
              <w:jc w:val="center"/>
            </w:pPr>
            <w:r/>
            <w:r>
              <w:rPr>
                <w:sz w:val="17"/>
              </w:rPr>
              <w:t>0/9 (0.0)</w:t>
            </w:r>
          </w:p>
        </w:tc>
      </w:tr>
      <w:tr>
        <w:tc>
          <w:tcPr>
            <w:tcW w:type="dxa" w:w="2880"/>
          </w:tcPr>
          <w:p>
            <w:pPr>
              <w:spacing w:before="30" w:after="30"/>
              <w:jc w:val="left"/>
            </w:pPr>
            <w:r/>
            <w:r>
              <w:rPr>
                <w:sz w:val="17"/>
              </w:rPr>
              <w:t>360–539°</w:t>
            </w:r>
          </w:p>
        </w:tc>
        <w:tc>
          <w:tcPr>
            <w:tcW w:type="dxa" w:w="2880"/>
          </w:tcPr>
          <w:p>
            <w:pPr>
              <w:spacing w:before="30" w:after="30"/>
              <w:jc w:val="center"/>
            </w:pPr>
            <w:r/>
            <w:r>
              <w:rPr>
                <w:sz w:val="17"/>
              </w:rPr>
              <w:t>8/58 (13.8)</w:t>
            </w:r>
          </w:p>
        </w:tc>
        <w:tc>
          <w:tcPr>
            <w:tcW w:type="dxa" w:w="2880"/>
          </w:tcPr>
          <w:p>
            <w:pPr>
              <w:spacing w:before="30" w:after="30"/>
              <w:jc w:val="center"/>
            </w:pPr>
            <w:r/>
            <w:r>
              <w:rPr>
                <w:sz w:val="17"/>
              </w:rPr>
              <w:t>5/81 (6.2)</w:t>
            </w:r>
          </w:p>
        </w:tc>
      </w:tr>
      <w:tr>
        <w:tc>
          <w:tcPr>
            <w:tcW w:type="dxa" w:w="2880"/>
          </w:tcPr>
          <w:p>
            <w:pPr>
              <w:spacing w:before="30" w:after="30"/>
              <w:jc w:val="left"/>
            </w:pPr>
            <w:r/>
            <w:r>
              <w:rPr>
                <w:sz w:val="17"/>
              </w:rPr>
              <w:t>540–719°</w:t>
            </w:r>
          </w:p>
        </w:tc>
        <w:tc>
          <w:tcPr>
            <w:tcW w:type="dxa" w:w="2880"/>
          </w:tcPr>
          <w:p>
            <w:pPr>
              <w:spacing w:before="30" w:after="30"/>
              <w:jc w:val="center"/>
            </w:pPr>
            <w:r/>
            <w:r>
              <w:rPr>
                <w:sz w:val="17"/>
              </w:rPr>
              <w:t>5/15 (33.3)</w:t>
            </w:r>
          </w:p>
        </w:tc>
        <w:tc>
          <w:tcPr>
            <w:tcW w:type="dxa" w:w="2880"/>
          </w:tcPr>
          <w:p>
            <w:pPr>
              <w:spacing w:before="30" w:after="30"/>
              <w:jc w:val="center"/>
            </w:pPr>
            <w:r/>
            <w:r>
              <w:rPr>
                <w:sz w:val="17"/>
              </w:rPr>
              <w:t>5/30 (16.7)</w:t>
            </w:r>
          </w:p>
        </w:tc>
      </w:tr>
      <w:tr>
        <w:tc>
          <w:tcPr>
            <w:tcW w:type="dxa" w:w="2880"/>
            <w:tcBorders>
              <w:bottom w:val="single" w:sz="12" w:color="000000"/>
            </w:tcBorders>
          </w:tcPr>
          <w:p>
            <w:pPr>
              <w:spacing w:before="30" w:after="30"/>
              <w:jc w:val="left"/>
            </w:pPr>
            <w:r/>
            <w:r>
              <w:rPr>
                <w:sz w:val="17"/>
              </w:rPr>
              <w:t>≥720°</w:t>
            </w:r>
          </w:p>
        </w:tc>
        <w:tc>
          <w:tcPr>
            <w:tcW w:type="dxa" w:w="2880"/>
            <w:tcBorders>
              <w:bottom w:val="single" w:sz="12" w:color="000000"/>
            </w:tcBorders>
          </w:tcPr>
          <w:p>
            <w:pPr>
              <w:spacing w:before="30" w:after="30"/>
              <w:jc w:val="center"/>
            </w:pPr>
            <w:r/>
            <w:r>
              <w:rPr>
                <w:sz w:val="17"/>
              </w:rPr>
              <w:t>24/42 (57.1)</w:t>
            </w:r>
          </w:p>
        </w:tc>
        <w:tc>
          <w:tcPr>
            <w:tcW w:type="dxa" w:w="2880"/>
            <w:tcBorders>
              <w:bottom w:val="single" w:sz="12" w:color="000000"/>
            </w:tcBorders>
          </w:tcPr>
          <w:p>
            <w:pPr>
              <w:spacing w:before="30" w:after="30"/>
              <w:jc w:val="center"/>
            </w:pPr>
            <w:r/>
            <w:r>
              <w:rPr>
                <w:sz w:val="17"/>
              </w:rPr>
              <w:t>16/46 (34.8)</w:t>
            </w:r>
          </w:p>
        </w:tc>
      </w:tr>
    </w:tbl>
    <w:p>
      <w:pPr>
        <w:spacing w:before="60"/>
      </w:pPr>
      <w:r>
        <w:rPr>
          <w:i/>
          <w:sz w:val="16"/>
        </w:rPr>
        <w:t>Cells are events/n (%). Children with acute midgut volvulus only.</w:t>
      </w:r>
    </w:p>
    <w:p/>
    <w:p>
      <w:r>
        <w:br w:type="page"/>
      </w:r>
    </w:p>
    <w:p>
      <w:pPr>
        <w:spacing w:after="80"/>
      </w:pPr>
      <w:r>
        <w:rPr>
          <w:b/>
          <w:sz w:val="19"/>
        </w:rPr>
        <w:t xml:space="preserve">Table S2  </w:t>
      </w:r>
      <w:r>
        <w:rPr>
          <w:sz w:val="19"/>
        </w:rPr>
        <w:t>Univariable associations with bowel compromise in acute midgut volvulus</w:t>
      </w:r>
    </w:p>
    <w:tbl>
      <w:tblPr>
        <w:tblW w:type="auto" w:w="0"/>
        <w:jc w:val="center"/>
        <w:tblLayout w:type="autofit"/>
        <w:tblLook w:firstColumn="1" w:firstRow="1" w:lastColumn="0" w:lastRow="0" w:noHBand="0" w:noVBand="1" w:val="04A0"/>
      </w:tblPr>
      <w:tblGrid>
        <w:gridCol w:w="1440"/>
        <w:gridCol w:w="1440"/>
        <w:gridCol w:w="1440"/>
        <w:gridCol w:w="1440"/>
        <w:gridCol w:w="1440"/>
        <w:gridCol w:w="1440"/>
      </w:tblGrid>
      <w:tr>
        <w:tc>
          <w:tcPr>
            <w:tcW w:type="dxa" w:w="1440"/>
            <w:tcBorders>
              <w:top w:val="single" w:sz="12" w:color="000000"/>
              <w:bottom w:val="single" w:sz="8" w:color="000000"/>
            </w:tcBorders>
          </w:tcPr>
          <w:p>
            <w:pPr>
              <w:spacing w:before="30" w:after="30"/>
              <w:jc w:val="left"/>
            </w:pPr>
            <w:r/>
            <w:r>
              <w:rPr>
                <w:b/>
                <w:sz w:val="17"/>
              </w:rPr>
              <w:t>Variable</w:t>
            </w:r>
          </w:p>
        </w:tc>
        <w:tc>
          <w:tcPr>
            <w:tcW w:type="dxa" w:w="1440"/>
            <w:tcBorders>
              <w:top w:val="single" w:sz="12" w:color="000000"/>
              <w:bottom w:val="single" w:sz="8" w:color="000000"/>
            </w:tcBorders>
          </w:tcPr>
          <w:p>
            <w:pPr>
              <w:spacing w:before="30" w:after="30"/>
              <w:jc w:val="center"/>
            </w:pPr>
            <w:r/>
            <w:r>
              <w:rPr>
                <w:b/>
                <w:sz w:val="17"/>
              </w:rPr>
              <w:t>n</w:t>
            </w:r>
          </w:p>
        </w:tc>
        <w:tc>
          <w:tcPr>
            <w:tcW w:type="dxa" w:w="1440"/>
            <w:tcBorders>
              <w:top w:val="single" w:sz="12" w:color="000000"/>
              <w:bottom w:val="single" w:sz="8" w:color="000000"/>
            </w:tcBorders>
          </w:tcPr>
          <w:p>
            <w:pPr>
              <w:spacing w:before="30" w:after="30"/>
              <w:jc w:val="center"/>
            </w:pPr>
            <w:r/>
            <w:r>
              <w:rPr>
                <w:b/>
                <w:sz w:val="17"/>
              </w:rPr>
              <w:t>Events</w:t>
            </w:r>
          </w:p>
        </w:tc>
        <w:tc>
          <w:tcPr>
            <w:tcW w:type="dxa" w:w="1440"/>
            <w:tcBorders>
              <w:top w:val="single" w:sz="12" w:color="000000"/>
              <w:bottom w:val="single" w:sz="8" w:color="000000"/>
            </w:tcBorders>
          </w:tcPr>
          <w:p>
            <w:pPr>
              <w:spacing w:before="30" w:after="30"/>
              <w:jc w:val="center"/>
            </w:pPr>
            <w:r/>
            <w:r>
              <w:rPr>
                <w:b/>
                <w:sz w:val="17"/>
              </w:rPr>
              <w:t>Odds ratio (95% CI)</w:t>
            </w:r>
          </w:p>
        </w:tc>
        <w:tc>
          <w:tcPr>
            <w:tcW w:type="dxa" w:w="1440"/>
            <w:tcBorders>
              <w:top w:val="single" w:sz="12" w:color="000000"/>
              <w:bottom w:val="single" w:sz="8" w:color="000000"/>
            </w:tcBorders>
          </w:tcPr>
          <w:p>
            <w:pPr>
              <w:spacing w:before="30" w:after="30"/>
              <w:jc w:val="center"/>
            </w:pPr>
            <w:r/>
            <w:r>
              <w:rPr>
                <w:b/>
                <w:sz w:val="17"/>
              </w:rPr>
              <w:t>P</w:t>
            </w:r>
          </w:p>
        </w:tc>
        <w:tc>
          <w:tcPr>
            <w:tcW w:type="dxa" w:w="1440"/>
            <w:tcBorders>
              <w:top w:val="single" w:sz="12" w:color="000000"/>
              <w:bottom w:val="single" w:sz="8" w:color="000000"/>
            </w:tcBorders>
          </w:tcPr>
          <w:p>
            <w:pPr>
              <w:spacing w:before="30" w:after="30"/>
              <w:jc w:val="center"/>
            </w:pPr>
            <w:r/>
            <w:r>
              <w:rPr>
                <w:b/>
                <w:sz w:val="17"/>
              </w:rPr>
              <w:t>AUC (95% CI)</w:t>
            </w:r>
          </w:p>
        </w:tc>
      </w:tr>
      <w:tr>
        <w:tc>
          <w:tcPr>
            <w:tcW w:type="dxa" w:w="1440"/>
          </w:tcPr>
          <w:p>
            <w:pPr>
              <w:spacing w:before="30" w:after="30"/>
              <w:jc w:val="left"/>
            </w:pPr>
            <w:r/>
            <w:r>
              <w:rPr>
                <w:sz w:val="17"/>
              </w:rPr>
              <w:t>Rotation, per 90°</w:t>
            </w:r>
          </w:p>
        </w:tc>
        <w:tc>
          <w:tcPr>
            <w:tcW w:type="dxa" w:w="1440"/>
          </w:tcPr>
          <w:p>
            <w:pPr>
              <w:spacing w:before="30" w:after="30"/>
              <w:jc w:val="center"/>
            </w:pPr>
            <w:r/>
            <w:r>
              <w:rPr>
                <w:sz w:val="17"/>
              </w:rPr>
              <w:t>287</w:t>
            </w:r>
          </w:p>
        </w:tc>
        <w:tc>
          <w:tcPr>
            <w:tcW w:type="dxa" w:w="1440"/>
          </w:tcPr>
          <w:p>
            <w:pPr>
              <w:spacing w:before="30" w:after="30"/>
              <w:jc w:val="center"/>
            </w:pPr>
            <w:r/>
            <w:r>
              <w:rPr>
                <w:sz w:val="17"/>
              </w:rPr>
              <w:t>63</w:t>
            </w:r>
          </w:p>
        </w:tc>
        <w:tc>
          <w:tcPr>
            <w:tcW w:type="dxa" w:w="1440"/>
          </w:tcPr>
          <w:p>
            <w:pPr>
              <w:spacing w:before="30" w:after="30"/>
              <w:jc w:val="center"/>
            </w:pPr>
            <w:r/>
            <w:r>
              <w:rPr>
                <w:sz w:val="17"/>
              </w:rPr>
              <w:t>1.66 (1.42–1.96)</w:t>
            </w:r>
          </w:p>
        </w:tc>
        <w:tc>
          <w:tcPr>
            <w:tcW w:type="dxa" w:w="1440"/>
          </w:tcPr>
          <w:p>
            <w:pPr>
              <w:spacing w:before="30" w:after="30"/>
              <w:jc w:val="center"/>
            </w:pPr>
            <w:r/>
            <w:r>
              <w:rPr>
                <w:sz w:val="17"/>
              </w:rPr>
              <w:t>&lt;0.001</w:t>
            </w:r>
          </w:p>
        </w:tc>
        <w:tc>
          <w:tcPr>
            <w:tcW w:type="dxa" w:w="1440"/>
          </w:tcPr>
          <w:p>
            <w:pPr>
              <w:spacing w:before="30" w:after="30"/>
              <w:jc w:val="center"/>
            </w:pPr>
            <w:r/>
            <w:r>
              <w:rPr>
                <w:sz w:val="17"/>
              </w:rPr>
              <w:t>0.753 (0.690–0.816)</w:t>
            </w:r>
          </w:p>
        </w:tc>
      </w:tr>
      <w:tr>
        <w:tc>
          <w:tcPr>
            <w:tcW w:type="dxa" w:w="1440"/>
          </w:tcPr>
          <w:p>
            <w:pPr>
              <w:spacing w:before="30" w:after="30"/>
              <w:jc w:val="left"/>
            </w:pPr>
            <w:r/>
            <w:r>
              <w:rPr>
                <w:sz w:val="17"/>
              </w:rPr>
              <w:t>Symptom duration, per doubling</w:t>
            </w:r>
          </w:p>
        </w:tc>
        <w:tc>
          <w:tcPr>
            <w:tcW w:type="dxa" w:w="1440"/>
          </w:tcPr>
          <w:p>
            <w:pPr>
              <w:spacing w:before="30" w:after="30"/>
              <w:jc w:val="center"/>
            </w:pPr>
            <w:r/>
            <w:r>
              <w:rPr>
                <w:sz w:val="17"/>
              </w:rPr>
              <w:t>287</w:t>
            </w:r>
          </w:p>
        </w:tc>
        <w:tc>
          <w:tcPr>
            <w:tcW w:type="dxa" w:w="1440"/>
          </w:tcPr>
          <w:p>
            <w:pPr>
              <w:spacing w:before="30" w:after="30"/>
              <w:jc w:val="center"/>
            </w:pPr>
            <w:r/>
            <w:r>
              <w:rPr>
                <w:sz w:val="17"/>
              </w:rPr>
              <w:t>63</w:t>
            </w:r>
          </w:p>
        </w:tc>
        <w:tc>
          <w:tcPr>
            <w:tcW w:type="dxa" w:w="1440"/>
          </w:tcPr>
          <w:p>
            <w:pPr>
              <w:spacing w:before="30" w:after="30"/>
              <w:jc w:val="center"/>
            </w:pPr>
            <w:r/>
            <w:r>
              <w:rPr>
                <w:sz w:val="17"/>
              </w:rPr>
              <w:t>0.64 (0.50–0.80)</w:t>
            </w:r>
          </w:p>
        </w:tc>
        <w:tc>
          <w:tcPr>
            <w:tcW w:type="dxa" w:w="1440"/>
          </w:tcPr>
          <w:p>
            <w:pPr>
              <w:spacing w:before="30" w:after="30"/>
              <w:jc w:val="center"/>
            </w:pPr>
            <w:r/>
            <w:r>
              <w:rPr>
                <w:sz w:val="17"/>
              </w:rPr>
              <w:t>&lt;0.001</w:t>
            </w:r>
          </w:p>
        </w:tc>
        <w:tc>
          <w:tcPr>
            <w:tcW w:type="dxa" w:w="1440"/>
          </w:tcPr>
          <w:p>
            <w:pPr>
              <w:spacing w:before="30" w:after="30"/>
              <w:jc w:val="center"/>
            </w:pPr>
            <w:r/>
            <w:r>
              <w:rPr>
                <w:sz w:val="17"/>
              </w:rPr>
              <w:t>0.661 (0.590–0.731)</w:t>
            </w:r>
          </w:p>
        </w:tc>
      </w:tr>
      <w:tr>
        <w:tc>
          <w:tcPr>
            <w:tcW w:type="dxa" w:w="1440"/>
          </w:tcPr>
          <w:p>
            <w:pPr>
              <w:spacing w:before="30" w:after="30"/>
              <w:jc w:val="left"/>
            </w:pPr>
            <w:r/>
            <w:r>
              <w:rPr>
                <w:sz w:val="17"/>
              </w:rPr>
              <w:t>Age, per month</w:t>
            </w:r>
          </w:p>
        </w:tc>
        <w:tc>
          <w:tcPr>
            <w:tcW w:type="dxa" w:w="1440"/>
          </w:tcPr>
          <w:p>
            <w:pPr>
              <w:spacing w:before="30" w:after="30"/>
              <w:jc w:val="center"/>
            </w:pPr>
            <w:r/>
            <w:r>
              <w:rPr>
                <w:sz w:val="17"/>
              </w:rPr>
              <w:t>287</w:t>
            </w:r>
          </w:p>
        </w:tc>
        <w:tc>
          <w:tcPr>
            <w:tcW w:type="dxa" w:w="1440"/>
          </w:tcPr>
          <w:p>
            <w:pPr>
              <w:spacing w:before="30" w:after="30"/>
              <w:jc w:val="center"/>
            </w:pPr>
            <w:r/>
            <w:r>
              <w:rPr>
                <w:sz w:val="17"/>
              </w:rPr>
              <w:t>63</w:t>
            </w:r>
          </w:p>
        </w:tc>
        <w:tc>
          <w:tcPr>
            <w:tcW w:type="dxa" w:w="1440"/>
          </w:tcPr>
          <w:p>
            <w:pPr>
              <w:spacing w:before="30" w:after="30"/>
              <w:jc w:val="center"/>
            </w:pPr>
            <w:r/>
            <w:r>
              <w:rPr>
                <w:sz w:val="17"/>
              </w:rPr>
              <w:t>0.994 (0.982–1.003)</w:t>
            </w:r>
          </w:p>
        </w:tc>
        <w:tc>
          <w:tcPr>
            <w:tcW w:type="dxa" w:w="1440"/>
          </w:tcPr>
          <w:p>
            <w:pPr>
              <w:spacing w:before="30" w:after="30"/>
              <w:jc w:val="center"/>
            </w:pPr>
            <w:r/>
            <w:r>
              <w:rPr>
                <w:sz w:val="17"/>
              </w:rPr>
              <w:t>0.198</w:t>
            </w:r>
          </w:p>
        </w:tc>
        <w:tc>
          <w:tcPr>
            <w:tcW w:type="dxa" w:w="1440"/>
          </w:tcPr>
          <w:p>
            <w:pPr>
              <w:spacing w:before="30" w:after="30"/>
              <w:jc w:val="center"/>
            </w:pPr>
            <w:r/>
            <w:r>
              <w:rPr>
                <w:sz w:val="17"/>
              </w:rPr>
              <w:t>0.590 (0.511–0.670)</w:t>
            </w:r>
          </w:p>
        </w:tc>
      </w:tr>
      <w:tr>
        <w:tc>
          <w:tcPr>
            <w:tcW w:type="dxa" w:w="1440"/>
          </w:tcPr>
          <w:p>
            <w:pPr>
              <w:spacing w:before="30" w:after="30"/>
              <w:jc w:val="left"/>
            </w:pPr>
            <w:r/>
            <w:r>
              <w:rPr>
                <w:sz w:val="17"/>
              </w:rPr>
              <w:t>Male sex</w:t>
            </w:r>
          </w:p>
        </w:tc>
        <w:tc>
          <w:tcPr>
            <w:tcW w:type="dxa" w:w="1440"/>
          </w:tcPr>
          <w:p>
            <w:pPr>
              <w:spacing w:before="30" w:after="30"/>
              <w:jc w:val="center"/>
            </w:pPr>
            <w:r/>
            <w:r>
              <w:rPr>
                <w:sz w:val="17"/>
              </w:rPr>
              <w:t>287</w:t>
            </w:r>
          </w:p>
        </w:tc>
        <w:tc>
          <w:tcPr>
            <w:tcW w:type="dxa" w:w="1440"/>
          </w:tcPr>
          <w:p>
            <w:pPr>
              <w:spacing w:before="30" w:after="30"/>
              <w:jc w:val="center"/>
            </w:pPr>
            <w:r/>
            <w:r>
              <w:rPr>
                <w:sz w:val="17"/>
              </w:rPr>
              <w:t>63</w:t>
            </w:r>
          </w:p>
        </w:tc>
        <w:tc>
          <w:tcPr>
            <w:tcW w:type="dxa" w:w="1440"/>
          </w:tcPr>
          <w:p>
            <w:pPr>
              <w:spacing w:before="30" w:after="30"/>
              <w:jc w:val="center"/>
            </w:pPr>
            <w:r/>
            <w:r>
              <w:rPr>
                <w:sz w:val="17"/>
              </w:rPr>
              <w:t>2.19 (1.05–5.10)</w:t>
            </w:r>
          </w:p>
        </w:tc>
        <w:tc>
          <w:tcPr>
            <w:tcW w:type="dxa" w:w="1440"/>
          </w:tcPr>
          <w:p>
            <w:pPr>
              <w:spacing w:before="30" w:after="30"/>
              <w:jc w:val="center"/>
            </w:pPr>
            <w:r/>
            <w:r>
              <w:rPr>
                <w:sz w:val="17"/>
              </w:rPr>
              <w:t>0.037</w:t>
            </w:r>
          </w:p>
        </w:tc>
        <w:tc>
          <w:tcPr>
            <w:tcW w:type="dxa" w:w="1440"/>
          </w:tcPr>
          <w:p>
            <w:pPr>
              <w:spacing w:before="30" w:after="30"/>
              <w:jc w:val="center"/>
            </w:pPr>
            <w:r/>
            <w:r>
              <w:rPr>
                <w:sz w:val="17"/>
              </w:rPr>
              <w:t>0.562 (0.511–0.612)</w:t>
            </w:r>
          </w:p>
        </w:tc>
      </w:tr>
      <w:tr>
        <w:tc>
          <w:tcPr>
            <w:tcW w:type="dxa" w:w="1440"/>
          </w:tcPr>
          <w:p>
            <w:pPr>
              <w:spacing w:before="30" w:after="30"/>
              <w:jc w:val="left"/>
            </w:pPr>
            <w:r/>
            <w:r>
              <w:rPr>
                <w:sz w:val="17"/>
              </w:rPr>
              <w:t>log2(CRP + 1)</w:t>
            </w:r>
          </w:p>
        </w:tc>
        <w:tc>
          <w:tcPr>
            <w:tcW w:type="dxa" w:w="1440"/>
          </w:tcPr>
          <w:p>
            <w:pPr>
              <w:spacing w:before="30" w:after="30"/>
              <w:jc w:val="center"/>
            </w:pPr>
            <w:r/>
            <w:r>
              <w:rPr>
                <w:sz w:val="17"/>
              </w:rPr>
              <w:t>176</w:t>
            </w:r>
          </w:p>
        </w:tc>
        <w:tc>
          <w:tcPr>
            <w:tcW w:type="dxa" w:w="1440"/>
          </w:tcPr>
          <w:p>
            <w:pPr>
              <w:spacing w:before="30" w:after="30"/>
              <w:jc w:val="center"/>
            </w:pPr>
            <w:r/>
            <w:r>
              <w:rPr>
                <w:sz w:val="17"/>
              </w:rPr>
              <w:t>38</w:t>
            </w:r>
          </w:p>
        </w:tc>
        <w:tc>
          <w:tcPr>
            <w:tcW w:type="dxa" w:w="1440"/>
          </w:tcPr>
          <w:p>
            <w:pPr>
              <w:spacing w:before="30" w:after="30"/>
              <w:jc w:val="center"/>
            </w:pPr>
            <w:r/>
            <w:r>
              <w:rPr>
                <w:sz w:val="17"/>
              </w:rPr>
              <w:t>1.45 (1.17–1.82)</w:t>
            </w:r>
          </w:p>
        </w:tc>
        <w:tc>
          <w:tcPr>
            <w:tcW w:type="dxa" w:w="1440"/>
          </w:tcPr>
          <w:p>
            <w:pPr>
              <w:spacing w:before="30" w:after="30"/>
              <w:jc w:val="center"/>
            </w:pPr>
            <w:r/>
            <w:r>
              <w:rPr>
                <w:sz w:val="17"/>
              </w:rPr>
              <w:t>&lt;0.001</w:t>
            </w:r>
          </w:p>
        </w:tc>
        <w:tc>
          <w:tcPr>
            <w:tcW w:type="dxa" w:w="1440"/>
          </w:tcPr>
          <w:p>
            <w:pPr>
              <w:spacing w:before="30" w:after="30"/>
              <w:jc w:val="center"/>
            </w:pPr>
            <w:r/>
            <w:r>
              <w:rPr>
                <w:sz w:val="17"/>
              </w:rPr>
              <w:t>0.635 (0.528–0.742)</w:t>
            </w:r>
          </w:p>
        </w:tc>
      </w:tr>
      <w:tr>
        <w:tc>
          <w:tcPr>
            <w:tcW w:type="dxa" w:w="1440"/>
          </w:tcPr>
          <w:p>
            <w:pPr>
              <w:spacing w:before="30" w:after="30"/>
              <w:jc w:val="left"/>
            </w:pPr>
            <w:r/>
            <w:r>
              <w:rPr>
                <w:sz w:val="17"/>
              </w:rPr>
              <w:t>Absolute neutrophil count, per 1×10⁹/L</w:t>
            </w:r>
          </w:p>
        </w:tc>
        <w:tc>
          <w:tcPr>
            <w:tcW w:type="dxa" w:w="1440"/>
          </w:tcPr>
          <w:p>
            <w:pPr>
              <w:spacing w:before="30" w:after="30"/>
              <w:jc w:val="center"/>
            </w:pPr>
            <w:r/>
            <w:r>
              <w:rPr>
                <w:sz w:val="17"/>
              </w:rPr>
              <w:t>266</w:t>
            </w:r>
          </w:p>
        </w:tc>
        <w:tc>
          <w:tcPr>
            <w:tcW w:type="dxa" w:w="1440"/>
          </w:tcPr>
          <w:p>
            <w:pPr>
              <w:spacing w:before="30" w:after="30"/>
              <w:jc w:val="center"/>
            </w:pPr>
            <w:r/>
            <w:r>
              <w:rPr>
                <w:sz w:val="17"/>
              </w:rPr>
              <w:t>61</w:t>
            </w:r>
          </w:p>
        </w:tc>
        <w:tc>
          <w:tcPr>
            <w:tcW w:type="dxa" w:w="1440"/>
          </w:tcPr>
          <w:p>
            <w:pPr>
              <w:spacing w:before="30" w:after="30"/>
              <w:jc w:val="center"/>
            </w:pPr>
            <w:r/>
            <w:r>
              <w:rPr>
                <w:sz w:val="17"/>
              </w:rPr>
              <w:t>1.10 (1.03–1.18)</w:t>
            </w:r>
          </w:p>
        </w:tc>
        <w:tc>
          <w:tcPr>
            <w:tcW w:type="dxa" w:w="1440"/>
          </w:tcPr>
          <w:p>
            <w:pPr>
              <w:spacing w:before="30" w:after="30"/>
              <w:jc w:val="center"/>
            </w:pPr>
            <w:r/>
            <w:r>
              <w:rPr>
                <w:sz w:val="17"/>
              </w:rPr>
              <w:t>0.007</w:t>
            </w:r>
          </w:p>
        </w:tc>
        <w:tc>
          <w:tcPr>
            <w:tcW w:type="dxa" w:w="1440"/>
          </w:tcPr>
          <w:p>
            <w:pPr>
              <w:spacing w:before="30" w:after="30"/>
              <w:jc w:val="center"/>
            </w:pPr>
            <w:r/>
            <w:r>
              <w:rPr>
                <w:sz w:val="17"/>
              </w:rPr>
              <w:t>0.594 (0.510–0.677)</w:t>
            </w:r>
          </w:p>
        </w:tc>
      </w:tr>
      <w:tr>
        <w:tc>
          <w:tcPr>
            <w:tcW w:type="dxa" w:w="1440"/>
          </w:tcPr>
          <w:p>
            <w:pPr>
              <w:spacing w:before="30" w:after="30"/>
              <w:jc w:val="left"/>
            </w:pPr>
            <w:r/>
            <w:r>
              <w:rPr>
                <w:sz w:val="17"/>
              </w:rPr>
              <w:t>Platelet count, per 50×10⁹/L</w:t>
            </w:r>
          </w:p>
        </w:tc>
        <w:tc>
          <w:tcPr>
            <w:tcW w:type="dxa" w:w="1440"/>
          </w:tcPr>
          <w:p>
            <w:pPr>
              <w:spacing w:before="30" w:after="30"/>
              <w:jc w:val="center"/>
            </w:pPr>
            <w:r/>
            <w:r>
              <w:rPr>
                <w:sz w:val="17"/>
              </w:rPr>
              <w:t>266</w:t>
            </w:r>
          </w:p>
        </w:tc>
        <w:tc>
          <w:tcPr>
            <w:tcW w:type="dxa" w:w="1440"/>
          </w:tcPr>
          <w:p>
            <w:pPr>
              <w:spacing w:before="30" w:after="30"/>
              <w:jc w:val="center"/>
            </w:pPr>
            <w:r/>
            <w:r>
              <w:rPr>
                <w:sz w:val="17"/>
              </w:rPr>
              <w:t>61</w:t>
            </w:r>
          </w:p>
        </w:tc>
        <w:tc>
          <w:tcPr>
            <w:tcW w:type="dxa" w:w="1440"/>
          </w:tcPr>
          <w:p>
            <w:pPr>
              <w:spacing w:before="30" w:after="30"/>
              <w:jc w:val="center"/>
            </w:pPr>
            <w:r/>
            <w:r>
              <w:rPr>
                <w:sz w:val="17"/>
              </w:rPr>
              <w:t>0.85 (0.74–0.96)</w:t>
            </w:r>
          </w:p>
        </w:tc>
        <w:tc>
          <w:tcPr>
            <w:tcW w:type="dxa" w:w="1440"/>
          </w:tcPr>
          <w:p>
            <w:pPr>
              <w:spacing w:before="30" w:after="30"/>
              <w:jc w:val="center"/>
            </w:pPr>
            <w:r/>
            <w:r>
              <w:rPr>
                <w:sz w:val="17"/>
              </w:rPr>
              <w:t>0.008</w:t>
            </w:r>
          </w:p>
        </w:tc>
        <w:tc>
          <w:tcPr>
            <w:tcW w:type="dxa" w:w="1440"/>
          </w:tcPr>
          <w:p>
            <w:pPr>
              <w:spacing w:before="30" w:after="30"/>
              <w:jc w:val="center"/>
            </w:pPr>
            <w:r/>
            <w:r>
              <w:rPr>
                <w:sz w:val="17"/>
              </w:rPr>
              <w:t>0.619 (0.535–0.703)</w:t>
            </w:r>
          </w:p>
        </w:tc>
      </w:tr>
      <w:tr>
        <w:tc>
          <w:tcPr>
            <w:tcW w:type="dxa" w:w="1440"/>
            <w:tcBorders>
              <w:bottom w:val="single" w:sz="12" w:color="000000"/>
            </w:tcBorders>
          </w:tcPr>
          <w:p>
            <w:pPr>
              <w:spacing w:before="30" w:after="30"/>
              <w:jc w:val="left"/>
            </w:pPr>
            <w:r/>
            <w:r>
              <w:rPr>
                <w:sz w:val="17"/>
              </w:rPr>
              <w:t>Albumin, per g/L</w:t>
            </w:r>
          </w:p>
        </w:tc>
        <w:tc>
          <w:tcPr>
            <w:tcW w:type="dxa" w:w="1440"/>
            <w:tcBorders>
              <w:bottom w:val="single" w:sz="12" w:color="000000"/>
            </w:tcBorders>
          </w:tcPr>
          <w:p>
            <w:pPr>
              <w:spacing w:before="30" w:after="30"/>
              <w:jc w:val="center"/>
            </w:pPr>
            <w:r/>
            <w:r>
              <w:rPr>
                <w:sz w:val="17"/>
              </w:rPr>
              <w:t>268</w:t>
            </w:r>
          </w:p>
        </w:tc>
        <w:tc>
          <w:tcPr>
            <w:tcW w:type="dxa" w:w="1440"/>
            <w:tcBorders>
              <w:bottom w:val="single" w:sz="12" w:color="000000"/>
            </w:tcBorders>
          </w:tcPr>
          <w:p>
            <w:pPr>
              <w:spacing w:before="30" w:after="30"/>
              <w:jc w:val="center"/>
            </w:pPr>
            <w:r/>
            <w:r>
              <w:rPr>
                <w:sz w:val="17"/>
              </w:rPr>
              <w:t>62</w:t>
            </w:r>
          </w:p>
        </w:tc>
        <w:tc>
          <w:tcPr>
            <w:tcW w:type="dxa" w:w="1440"/>
            <w:tcBorders>
              <w:bottom w:val="single" w:sz="12" w:color="000000"/>
            </w:tcBorders>
          </w:tcPr>
          <w:p>
            <w:pPr>
              <w:spacing w:before="30" w:after="30"/>
              <w:jc w:val="center"/>
            </w:pPr>
            <w:r/>
            <w:r>
              <w:rPr>
                <w:sz w:val="17"/>
              </w:rPr>
              <w:t>0.94 (0.90–0.99)</w:t>
            </w:r>
          </w:p>
        </w:tc>
        <w:tc>
          <w:tcPr>
            <w:tcW w:type="dxa" w:w="1440"/>
            <w:tcBorders>
              <w:bottom w:val="single" w:sz="12" w:color="000000"/>
            </w:tcBorders>
          </w:tcPr>
          <w:p>
            <w:pPr>
              <w:spacing w:before="30" w:after="30"/>
              <w:jc w:val="center"/>
            </w:pPr>
            <w:r/>
            <w:r>
              <w:rPr>
                <w:sz w:val="17"/>
              </w:rPr>
              <w:t>0.009</w:t>
            </w:r>
          </w:p>
        </w:tc>
        <w:tc>
          <w:tcPr>
            <w:tcW w:type="dxa" w:w="1440"/>
            <w:tcBorders>
              <w:bottom w:val="single" w:sz="12" w:color="000000"/>
            </w:tcBorders>
          </w:tcPr>
          <w:p>
            <w:pPr>
              <w:spacing w:before="30" w:after="30"/>
              <w:jc w:val="center"/>
            </w:pPr>
            <w:r/>
            <w:r>
              <w:rPr>
                <w:sz w:val="17"/>
              </w:rPr>
              <w:t>0.587 (0.505–0.670)</w:t>
            </w:r>
          </w:p>
        </w:tc>
      </w:tr>
    </w:tbl>
    <w:p/>
    <w:p>
      <w:r>
        <w:br w:type="page"/>
      </w:r>
    </w:p>
    <w:p>
      <w:pPr>
        <w:spacing w:after="80"/>
      </w:pPr>
      <w:r>
        <w:rPr>
          <w:b/>
          <w:sz w:val="19"/>
        </w:rPr>
        <w:t xml:space="preserve">Table S3  </w:t>
      </w:r>
      <w:r>
        <w:rPr>
          <w:sz w:val="19"/>
        </w:rPr>
        <w:t>Incremental value of CRP and the absolute neutrophil count over the clinical model</w:t>
      </w:r>
    </w:p>
    <w:tbl>
      <w:tblPr>
        <w:tblW w:type="auto" w:w="0"/>
        <w:jc w:val="center"/>
        <w:tblLayout w:type="autofit"/>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Borders>
              <w:top w:val="single" w:sz="12" w:color="000000"/>
              <w:bottom w:val="single" w:sz="8" w:color="000000"/>
            </w:tcBorders>
          </w:tcPr>
          <w:p>
            <w:pPr>
              <w:spacing w:before="30" w:after="30"/>
              <w:jc w:val="left"/>
            </w:pPr>
            <w:r/>
            <w:r>
              <w:rPr>
                <w:b/>
                <w:sz w:val="17"/>
              </w:rPr>
              <w:t>Analysis set</w:t>
            </w:r>
          </w:p>
        </w:tc>
        <w:tc>
          <w:tcPr>
            <w:tcW w:type="dxa" w:w="960"/>
            <w:tcBorders>
              <w:top w:val="single" w:sz="12" w:color="000000"/>
              <w:bottom w:val="single" w:sz="8" w:color="000000"/>
            </w:tcBorders>
          </w:tcPr>
          <w:p>
            <w:pPr>
              <w:spacing w:before="30" w:after="30"/>
              <w:jc w:val="center"/>
            </w:pPr>
            <w:r/>
            <w:r>
              <w:rPr>
                <w:b/>
                <w:sz w:val="17"/>
              </w:rPr>
              <w:t>n</w:t>
            </w:r>
          </w:p>
        </w:tc>
        <w:tc>
          <w:tcPr>
            <w:tcW w:type="dxa" w:w="960"/>
            <w:tcBorders>
              <w:top w:val="single" w:sz="12" w:color="000000"/>
              <w:bottom w:val="single" w:sz="8" w:color="000000"/>
            </w:tcBorders>
          </w:tcPr>
          <w:p>
            <w:pPr>
              <w:spacing w:before="30" w:after="30"/>
              <w:jc w:val="center"/>
            </w:pPr>
            <w:r/>
            <w:r>
              <w:rPr>
                <w:b/>
                <w:sz w:val="17"/>
              </w:rPr>
              <w:t>Events</w:t>
            </w:r>
          </w:p>
        </w:tc>
        <w:tc>
          <w:tcPr>
            <w:tcW w:type="dxa" w:w="960"/>
            <w:tcBorders>
              <w:top w:val="single" w:sz="12" w:color="000000"/>
              <w:bottom w:val="single" w:sz="8" w:color="000000"/>
            </w:tcBorders>
          </w:tcPr>
          <w:p>
            <w:pPr>
              <w:spacing w:before="30" w:after="30"/>
              <w:jc w:val="center"/>
            </w:pPr>
            <w:r/>
            <w:r>
              <w:rPr>
                <w:b/>
                <w:sz w:val="17"/>
              </w:rPr>
              <w:t>Clinical model, AUC (95% CI)</w:t>
            </w:r>
          </w:p>
        </w:tc>
        <w:tc>
          <w:tcPr>
            <w:tcW w:type="dxa" w:w="960"/>
            <w:tcBorders>
              <w:top w:val="single" w:sz="12" w:color="000000"/>
              <w:bottom w:val="single" w:sz="8" w:color="000000"/>
            </w:tcBorders>
          </w:tcPr>
          <w:p>
            <w:pPr>
              <w:spacing w:before="30" w:after="30"/>
              <w:jc w:val="center"/>
            </w:pPr>
            <w:r/>
            <w:r>
              <w:rPr>
                <w:b/>
                <w:sz w:val="17"/>
              </w:rPr>
              <w:t>With CRP and ANC, AUC (95% CI)</w:t>
            </w:r>
          </w:p>
        </w:tc>
        <w:tc>
          <w:tcPr>
            <w:tcW w:type="dxa" w:w="960"/>
            <w:tcBorders>
              <w:top w:val="single" w:sz="12" w:color="000000"/>
              <w:bottom w:val="single" w:sz="8" w:color="000000"/>
            </w:tcBorders>
          </w:tcPr>
          <w:p>
            <w:pPr>
              <w:spacing w:before="30" w:after="30"/>
              <w:jc w:val="center"/>
            </w:pPr>
            <w:r/>
            <w:r>
              <w:rPr>
                <w:b/>
                <w:sz w:val="17"/>
              </w:rPr>
              <w:t>Joint LRT, 2 df (P)</w:t>
            </w:r>
          </w:p>
        </w:tc>
        <w:tc>
          <w:tcPr>
            <w:tcW w:type="dxa" w:w="960"/>
            <w:tcBorders>
              <w:top w:val="single" w:sz="12" w:color="000000"/>
              <w:bottom w:val="single" w:sz="8" w:color="000000"/>
            </w:tcBorders>
          </w:tcPr>
          <w:p>
            <w:pPr>
              <w:spacing w:before="30" w:after="30"/>
              <w:jc w:val="center"/>
            </w:pPr>
            <w:r/>
            <w:r>
              <w:rPr>
                <w:b/>
                <w:sz w:val="17"/>
              </w:rPr>
              <w:t>ΔAUC (P)</w:t>
            </w:r>
          </w:p>
        </w:tc>
        <w:tc>
          <w:tcPr>
            <w:tcW w:type="dxa" w:w="960"/>
            <w:tcBorders>
              <w:top w:val="single" w:sz="12" w:color="000000"/>
              <w:bottom w:val="single" w:sz="8" w:color="000000"/>
            </w:tcBorders>
          </w:tcPr>
          <w:p>
            <w:pPr>
              <w:spacing w:before="30" w:after="30"/>
              <w:jc w:val="center"/>
            </w:pPr>
            <w:r/>
            <w:r>
              <w:rPr>
                <w:b/>
                <w:sz w:val="17"/>
              </w:rPr>
              <w:t>IDI (95% CI)</w:t>
            </w:r>
          </w:p>
        </w:tc>
        <w:tc>
          <w:tcPr>
            <w:tcW w:type="dxa" w:w="960"/>
            <w:tcBorders>
              <w:top w:val="single" w:sz="12" w:color="000000"/>
              <w:bottom w:val="single" w:sz="8" w:color="000000"/>
            </w:tcBorders>
          </w:tcPr>
          <w:p>
            <w:pPr>
              <w:spacing w:before="30" w:after="30"/>
              <w:jc w:val="center"/>
            </w:pPr>
            <w:r/>
            <w:r>
              <w:rPr>
                <w:b/>
                <w:sz w:val="17"/>
              </w:rPr>
              <w:t>Adjusted CRP OR (95% CI)</w:t>
            </w:r>
          </w:p>
        </w:tc>
      </w:tr>
      <w:tr>
        <w:tc>
          <w:tcPr>
            <w:tcW w:type="dxa" w:w="960"/>
          </w:tcPr>
          <w:p>
            <w:pPr>
              <w:spacing w:before="30" w:after="30"/>
              <w:jc w:val="left"/>
            </w:pPr>
            <w:r/>
            <w:r>
              <w:rPr>
                <w:sz w:val="17"/>
              </w:rPr>
              <w:t>All children with a CRP value</w:t>
            </w:r>
          </w:p>
        </w:tc>
        <w:tc>
          <w:tcPr>
            <w:tcW w:type="dxa" w:w="960"/>
          </w:tcPr>
          <w:p>
            <w:pPr>
              <w:spacing w:before="30" w:after="30"/>
              <w:jc w:val="center"/>
            </w:pPr>
            <w:r/>
            <w:r>
              <w:rPr>
                <w:sz w:val="17"/>
              </w:rPr>
              <w:t>174</w:t>
            </w:r>
          </w:p>
        </w:tc>
        <w:tc>
          <w:tcPr>
            <w:tcW w:type="dxa" w:w="960"/>
          </w:tcPr>
          <w:p>
            <w:pPr>
              <w:spacing w:before="30" w:after="30"/>
              <w:jc w:val="center"/>
            </w:pPr>
            <w:r/>
            <w:r>
              <w:rPr>
                <w:sz w:val="17"/>
              </w:rPr>
              <w:t>38</w:t>
            </w:r>
          </w:p>
        </w:tc>
        <w:tc>
          <w:tcPr>
            <w:tcW w:type="dxa" w:w="960"/>
          </w:tcPr>
          <w:p>
            <w:pPr>
              <w:spacing w:before="30" w:after="30"/>
              <w:jc w:val="center"/>
            </w:pPr>
            <w:r/>
            <w:r>
              <w:rPr>
                <w:sz w:val="17"/>
              </w:rPr>
              <w:t>0.864 (0.803–0.924)</w:t>
            </w:r>
          </w:p>
        </w:tc>
        <w:tc>
          <w:tcPr>
            <w:tcW w:type="dxa" w:w="960"/>
          </w:tcPr>
          <w:p>
            <w:pPr>
              <w:spacing w:before="30" w:after="30"/>
              <w:jc w:val="center"/>
            </w:pPr>
            <w:r/>
            <w:r>
              <w:rPr>
                <w:sz w:val="17"/>
              </w:rPr>
              <w:t>0.881 (0.819–0.943)</w:t>
            </w:r>
          </w:p>
        </w:tc>
        <w:tc>
          <w:tcPr>
            <w:tcW w:type="dxa" w:w="960"/>
          </w:tcPr>
          <w:p>
            <w:pPr>
              <w:spacing w:before="30" w:after="30"/>
              <w:jc w:val="center"/>
            </w:pPr>
            <w:r/>
            <w:r>
              <w:rPr>
                <w:sz w:val="17"/>
              </w:rPr>
              <w:t>10.77 (0.005)</w:t>
            </w:r>
          </w:p>
        </w:tc>
        <w:tc>
          <w:tcPr>
            <w:tcW w:type="dxa" w:w="960"/>
          </w:tcPr>
          <w:p>
            <w:pPr>
              <w:spacing w:before="30" w:after="30"/>
              <w:jc w:val="center"/>
            </w:pPr>
            <w:r/>
            <w:r>
              <w:rPr>
                <w:sz w:val="17"/>
              </w:rPr>
              <w:t>+0.017 (0.293)</w:t>
            </w:r>
          </w:p>
        </w:tc>
        <w:tc>
          <w:tcPr>
            <w:tcW w:type="dxa" w:w="960"/>
          </w:tcPr>
          <w:p>
            <w:pPr>
              <w:spacing w:before="30" w:after="30"/>
              <w:jc w:val="center"/>
            </w:pPr>
            <w:r/>
            <w:r>
              <w:rPr>
                <w:sz w:val="17"/>
              </w:rPr>
              <w:t>0.070 (0.011–0.136)</w:t>
            </w:r>
          </w:p>
        </w:tc>
        <w:tc>
          <w:tcPr>
            <w:tcW w:type="dxa" w:w="960"/>
          </w:tcPr>
          <w:p>
            <w:pPr>
              <w:spacing w:before="30" w:after="30"/>
              <w:jc w:val="center"/>
            </w:pPr>
            <w:r/>
            <w:r>
              <w:rPr>
                <w:sz w:val="17"/>
              </w:rPr>
              <w:t>1.51 (1.17–2.03)</w:t>
            </w:r>
          </w:p>
        </w:tc>
      </w:tr>
      <w:tr>
        <w:tc>
          <w:tcPr>
            <w:tcW w:type="dxa" w:w="960"/>
            <w:tcBorders>
              <w:bottom w:val="single" w:sz="12" w:color="000000"/>
            </w:tcBorders>
          </w:tcPr>
          <w:p>
            <w:pPr>
              <w:spacing w:before="30" w:after="30"/>
              <w:jc w:val="left"/>
            </w:pPr>
            <w:r/>
            <w:r>
              <w:rPr>
                <w:sz w:val="17"/>
              </w:rPr>
              <w:t>Specimen drawn before the day of surgery</w:t>
            </w:r>
          </w:p>
        </w:tc>
        <w:tc>
          <w:tcPr>
            <w:tcW w:type="dxa" w:w="960"/>
            <w:tcBorders>
              <w:bottom w:val="single" w:sz="12" w:color="000000"/>
            </w:tcBorders>
          </w:tcPr>
          <w:p>
            <w:pPr>
              <w:spacing w:before="30" w:after="30"/>
              <w:jc w:val="center"/>
            </w:pPr>
            <w:r/>
            <w:r>
              <w:rPr>
                <w:sz w:val="17"/>
              </w:rPr>
              <w:t>122</w:t>
            </w:r>
          </w:p>
        </w:tc>
        <w:tc>
          <w:tcPr>
            <w:tcW w:type="dxa" w:w="960"/>
            <w:tcBorders>
              <w:bottom w:val="single" w:sz="12" w:color="000000"/>
            </w:tcBorders>
          </w:tcPr>
          <w:p>
            <w:pPr>
              <w:spacing w:before="30" w:after="30"/>
              <w:jc w:val="center"/>
            </w:pPr>
            <w:r/>
            <w:r>
              <w:rPr>
                <w:sz w:val="17"/>
              </w:rPr>
              <w:t>17</w:t>
            </w:r>
          </w:p>
        </w:tc>
        <w:tc>
          <w:tcPr>
            <w:tcW w:type="dxa" w:w="960"/>
            <w:tcBorders>
              <w:bottom w:val="single" w:sz="12" w:color="000000"/>
            </w:tcBorders>
          </w:tcPr>
          <w:p>
            <w:pPr>
              <w:spacing w:before="30" w:after="30"/>
              <w:jc w:val="center"/>
            </w:pPr>
            <w:r/>
            <w:r>
              <w:rPr>
                <w:sz w:val="17"/>
              </w:rPr>
              <w:t>0.833 (0.728–0.938)</w:t>
            </w:r>
          </w:p>
        </w:tc>
        <w:tc>
          <w:tcPr>
            <w:tcW w:type="dxa" w:w="960"/>
            <w:tcBorders>
              <w:bottom w:val="single" w:sz="12" w:color="000000"/>
            </w:tcBorders>
          </w:tcPr>
          <w:p>
            <w:pPr>
              <w:spacing w:before="30" w:after="30"/>
              <w:jc w:val="center"/>
            </w:pPr>
            <w:r/>
            <w:r>
              <w:rPr>
                <w:sz w:val="17"/>
              </w:rPr>
              <w:t>0.825 (0.715–0.934)</w:t>
            </w:r>
          </w:p>
        </w:tc>
        <w:tc>
          <w:tcPr>
            <w:tcW w:type="dxa" w:w="960"/>
            <w:tcBorders>
              <w:bottom w:val="single" w:sz="12" w:color="000000"/>
            </w:tcBorders>
          </w:tcPr>
          <w:p>
            <w:pPr>
              <w:spacing w:before="30" w:after="30"/>
              <w:jc w:val="center"/>
            </w:pPr>
            <w:r/>
            <w:r>
              <w:rPr>
                <w:sz w:val="17"/>
              </w:rPr>
              <w:t>0.40 (0.818)</w:t>
            </w:r>
          </w:p>
        </w:tc>
        <w:tc>
          <w:tcPr>
            <w:tcW w:type="dxa" w:w="960"/>
            <w:tcBorders>
              <w:bottom w:val="single" w:sz="12" w:color="000000"/>
            </w:tcBorders>
          </w:tcPr>
          <w:p>
            <w:pPr>
              <w:spacing w:before="30" w:after="30"/>
              <w:jc w:val="center"/>
            </w:pPr>
            <w:r/>
            <w:r>
              <w:rPr>
                <w:sz w:val="17"/>
              </w:rPr>
              <w:t>−0.009 (0.324)</w:t>
            </w:r>
          </w:p>
        </w:tc>
        <w:tc>
          <w:tcPr>
            <w:tcW w:type="dxa" w:w="960"/>
            <w:tcBorders>
              <w:bottom w:val="single" w:sz="12" w:color="000000"/>
            </w:tcBorders>
          </w:tcPr>
          <w:p>
            <w:pPr>
              <w:spacing w:before="30" w:after="30"/>
              <w:jc w:val="center"/>
            </w:pPr>
            <w:r/>
            <w:r>
              <w:rPr>
                <w:sz w:val="17"/>
              </w:rPr>
              <w:t>0.000 (−0.019 to 0.022)</w:t>
            </w:r>
          </w:p>
        </w:tc>
        <w:tc>
          <w:tcPr>
            <w:tcW w:type="dxa" w:w="960"/>
            <w:tcBorders>
              <w:bottom w:val="single" w:sz="12" w:color="000000"/>
            </w:tcBorders>
          </w:tcPr>
          <w:p>
            <w:pPr>
              <w:spacing w:before="30" w:after="30"/>
              <w:jc w:val="center"/>
            </w:pPr>
            <w:r/>
            <w:r>
              <w:rPr>
                <w:sz w:val="17"/>
              </w:rPr>
              <w:t>1.18 (0.70–1.89)</w:t>
            </w:r>
          </w:p>
        </w:tc>
      </w:tr>
    </w:tbl>
    <w:p>
      <w:pPr>
        <w:spacing w:before="60"/>
      </w:pPr>
      <w:r>
        <w:rPr>
          <w:i/>
          <w:sz w:val="16"/>
        </w:rPr>
        <w:t>The clinical model contains rotation, symptom duration, age and sex. The second row excludes specimens drawn on the calendar day of surgery, which cannot be shown to have preceded the incision.</w:t>
      </w:r>
    </w:p>
    <w:p/>
    <w:p>
      <w:r>
        <w:br w:type="page"/>
      </w:r>
    </w:p>
    <w:p>
      <w:pPr>
        <w:spacing w:after="80"/>
      </w:pPr>
      <w:r>
        <w:rPr>
          <w:b/>
          <w:sz w:val="19"/>
        </w:rPr>
        <w:t xml:space="preserve">Table S4  </w:t>
      </w:r>
      <w:r>
        <w:rPr>
          <w:sz w:val="19"/>
        </w:rPr>
        <w:t>Changes from the previous statistical analysis plan, with dates and reasons</w:t>
      </w:r>
    </w:p>
    <w:tbl>
      <w:tblPr>
        <w:tblW w:type="auto" w:w="0"/>
        <w:jc w:val="center"/>
        <w:tblLayout w:type="autofit"/>
        <w:tblLook w:firstColumn="1" w:firstRow="1" w:lastColumn="0" w:lastRow="0" w:noHBand="0" w:noVBand="1" w:val="04A0"/>
      </w:tblPr>
      <w:tblGrid>
        <w:gridCol w:w="2880"/>
        <w:gridCol w:w="2880"/>
        <w:gridCol w:w="2880"/>
      </w:tblGrid>
      <w:tr>
        <w:tc>
          <w:tcPr>
            <w:tcW w:type="dxa" w:w="2880"/>
            <w:tcBorders>
              <w:top w:val="single" w:sz="12" w:color="000000"/>
              <w:bottom w:val="single" w:sz="8" w:color="000000"/>
            </w:tcBorders>
          </w:tcPr>
          <w:p>
            <w:pPr>
              <w:spacing w:before="30" w:after="30"/>
              <w:jc w:val="left"/>
            </w:pPr>
            <w:r/>
            <w:r>
              <w:rPr>
                <w:b/>
                <w:sz w:val="17"/>
              </w:rPr>
              <w:t>Date</w:t>
            </w:r>
          </w:p>
        </w:tc>
        <w:tc>
          <w:tcPr>
            <w:tcW w:type="dxa" w:w="2880"/>
            <w:tcBorders>
              <w:top w:val="single" w:sz="12" w:color="000000"/>
              <w:bottom w:val="single" w:sz="8" w:color="000000"/>
            </w:tcBorders>
          </w:tcPr>
          <w:p>
            <w:pPr>
              <w:spacing w:before="30" w:after="30"/>
              <w:jc w:val="center"/>
            </w:pPr>
            <w:r/>
            <w:r>
              <w:rPr>
                <w:b/>
                <w:sz w:val="17"/>
              </w:rPr>
              <w:t>Change</w:t>
            </w:r>
          </w:p>
        </w:tc>
        <w:tc>
          <w:tcPr>
            <w:tcW w:type="dxa" w:w="2880"/>
            <w:tcBorders>
              <w:top w:val="single" w:sz="12" w:color="000000"/>
              <w:bottom w:val="single" w:sz="8" w:color="000000"/>
            </w:tcBorders>
          </w:tcPr>
          <w:p>
            <w:pPr>
              <w:spacing w:before="30" w:after="30"/>
              <w:jc w:val="center"/>
            </w:pPr>
            <w:r/>
            <w:r>
              <w:rPr>
                <w:b/>
                <w:sz w:val="17"/>
              </w:rPr>
              <w:t>Reason</w:t>
            </w:r>
          </w:p>
        </w:tc>
      </w:tr>
      <w:tr>
        <w:tc>
          <w:tcPr>
            <w:tcW w:type="dxa" w:w="2880"/>
          </w:tcPr>
          <w:p>
            <w:pPr>
              <w:spacing w:before="30" w:after="30"/>
              <w:jc w:val="left"/>
            </w:pPr>
            <w:r/>
            <w:r>
              <w:rPr>
                <w:sz w:val="17"/>
              </w:rPr>
              <w:t>2026-09-07</w:t>
            </w:r>
          </w:p>
        </w:tc>
        <w:tc>
          <w:tcPr>
            <w:tcW w:type="dxa" w:w="2880"/>
          </w:tcPr>
          <w:p>
            <w:pPr>
              <w:spacing w:before="30" w:after="30"/>
              <w:jc w:val="center"/>
            </w:pPr>
            <w:r/>
            <w:r>
              <w:rPr>
                <w:sz w:val="17"/>
              </w:rPr>
              <w:t>Analysis population restricted to acute midgut volvulus (volvulus confirmed at operation, current episode ≤7 days, malrotation not incidental)</w:t>
            </w:r>
          </w:p>
        </w:tc>
        <w:tc>
          <w:tcPr>
            <w:tcW w:type="dxa" w:w="2880"/>
          </w:tcPr>
          <w:p>
            <w:pPr>
              <w:spacing w:before="30" w:after="30"/>
              <w:jc w:val="center"/>
            </w:pPr>
            <w:r/>
            <w:r>
              <w:rPr>
                <w:sz w:val="17"/>
              </w:rPr>
              <w:t>A cohort assembled by database keyword was found to conflate malrotation with and without volvulus, and acute with chronic presentations</w:t>
            </w:r>
          </w:p>
        </w:tc>
      </w:tr>
      <w:tr>
        <w:tc>
          <w:tcPr>
            <w:tcW w:type="dxa" w:w="2880"/>
          </w:tcPr>
          <w:p>
            <w:pPr>
              <w:spacing w:before="30" w:after="30"/>
              <w:jc w:val="left"/>
            </w:pPr>
            <w:r/>
            <w:r>
              <w:rPr>
                <w:sz w:val="17"/>
              </w:rPr>
              <w:t>2026-09-07</w:t>
            </w:r>
          </w:p>
        </w:tc>
        <w:tc>
          <w:tcPr>
            <w:tcW w:type="dxa" w:w="2880"/>
          </w:tcPr>
          <w:p>
            <w:pPr>
              <w:spacing w:before="30" w:after="30"/>
              <w:jc w:val="center"/>
            </w:pPr>
            <w:r/>
            <w:r>
              <w:rPr>
                <w:sz w:val="17"/>
              </w:rPr>
              <w:t>Symptom duration abstracted from the admission chief complaint and added as a model covariate</w:t>
            </w:r>
          </w:p>
        </w:tc>
        <w:tc>
          <w:tcPr>
            <w:tcW w:type="dxa" w:w="2880"/>
          </w:tcPr>
          <w:p>
            <w:pPr>
              <w:spacing w:before="30" w:after="30"/>
              <w:jc w:val="center"/>
            </w:pPr>
            <w:r/>
            <w:r>
              <w:rPr>
                <w:sz w:val="17"/>
              </w:rPr>
              <w:t>The interval between symptom onset and operation had not been abstracted, and is clinically central</w:t>
            </w:r>
          </w:p>
        </w:tc>
      </w:tr>
      <w:tr>
        <w:tc>
          <w:tcPr>
            <w:tcW w:type="dxa" w:w="2880"/>
          </w:tcPr>
          <w:p>
            <w:pPr>
              <w:spacing w:before="30" w:after="30"/>
              <w:jc w:val="left"/>
            </w:pPr>
            <w:r/>
            <w:r>
              <w:rPr>
                <w:sz w:val="17"/>
              </w:rPr>
              <w:t>2026-09-07</w:t>
            </w:r>
          </w:p>
        </w:tc>
        <w:tc>
          <w:tcPr>
            <w:tcW w:type="dxa" w:w="2880"/>
          </w:tcPr>
          <w:p>
            <w:pPr>
              <w:spacing w:before="30" w:after="30"/>
              <w:jc w:val="center"/>
            </w:pPr>
            <w:r/>
            <w:r>
              <w:rPr>
                <w:sz w:val="17"/>
              </w:rPr>
              <w:t>Indication for operation classified and reported for the whole source cohort</w:t>
            </w:r>
          </w:p>
        </w:tc>
        <w:tc>
          <w:tcPr>
            <w:tcW w:type="dxa" w:w="2880"/>
          </w:tcPr>
          <w:p>
            <w:pPr>
              <w:spacing w:before="30" w:after="30"/>
              <w:jc w:val="center"/>
            </w:pPr>
            <w:r/>
            <w:r>
              <w:rPr>
                <w:sz w:val="17"/>
              </w:rPr>
              <w:t>The indication for operation had not been reported for the cohort</w:t>
            </w:r>
          </w:p>
        </w:tc>
      </w:tr>
      <w:tr>
        <w:tc>
          <w:tcPr>
            <w:tcW w:type="dxa" w:w="2880"/>
          </w:tcPr>
          <w:p>
            <w:pPr>
              <w:spacing w:before="30" w:after="30"/>
              <w:jc w:val="left"/>
            </w:pPr>
            <w:r/>
            <w:r>
              <w:rPr>
                <w:sz w:val="17"/>
              </w:rPr>
              <w:t>2026-09-07</w:t>
            </w:r>
          </w:p>
        </w:tc>
        <w:tc>
          <w:tcPr>
            <w:tcW w:type="dxa" w:w="2880"/>
          </w:tcPr>
          <w:p>
            <w:pPr>
              <w:spacing w:before="30" w:after="30"/>
              <w:jc w:val="center"/>
            </w:pPr>
            <w:r/>
            <w:r>
              <w:rPr>
                <w:sz w:val="17"/>
              </w:rPr>
              <w:t>Primary exposure changed from preoperative inflammatory markers to the degree of rotation and symptom duration; markers demoted to a secondary question</w:t>
            </w:r>
          </w:p>
        </w:tc>
        <w:tc>
          <w:tcPr>
            <w:tcW w:type="dxa" w:w="2880"/>
          </w:tcPr>
          <w:p>
            <w:pPr>
              <w:spacing w:before="30" w:after="30"/>
              <w:jc w:val="center"/>
            </w:pPr>
            <w:r/>
            <w:r>
              <w:rPr>
                <w:sz w:val="17"/>
              </w:rPr>
              <w:t>Availability of CRP was shown to depend on the clinical presentation, so markers cannot be interpreted as preoperative predictors in this design</w:t>
            </w:r>
          </w:p>
        </w:tc>
      </w:tr>
      <w:tr>
        <w:tc>
          <w:tcPr>
            <w:tcW w:type="dxa" w:w="2880"/>
          </w:tcPr>
          <w:p>
            <w:pPr>
              <w:spacing w:before="30" w:after="30"/>
              <w:jc w:val="left"/>
            </w:pPr>
            <w:r/>
            <w:r>
              <w:rPr>
                <w:sz w:val="17"/>
              </w:rPr>
              <w:t>2026-09-07</w:t>
            </w:r>
          </w:p>
        </w:tc>
        <w:tc>
          <w:tcPr>
            <w:tcW w:type="dxa" w:w="2880"/>
          </w:tcPr>
          <w:p>
            <w:pPr>
              <w:spacing w:before="30" w:after="30"/>
              <w:jc w:val="center"/>
            </w:pPr>
            <w:r/>
            <w:r>
              <w:rPr>
                <w:sz w:val="17"/>
              </w:rPr>
              <w:t>Eleven children operated primarily for another anomaly excluded from the analysis population</w:t>
            </w:r>
          </w:p>
        </w:tc>
        <w:tc>
          <w:tcPr>
            <w:tcW w:type="dxa" w:w="2880"/>
          </w:tcPr>
          <w:p>
            <w:pPr>
              <w:spacing w:before="30" w:after="30"/>
              <w:jc w:val="center"/>
            </w:pPr>
            <w:r/>
            <w:r>
              <w:rPr>
                <w:sz w:val="17"/>
              </w:rPr>
              <w:t>Malrotation was an incidental operative finding in these children</w:t>
            </w:r>
          </w:p>
        </w:tc>
      </w:tr>
      <w:tr>
        <w:tc>
          <w:tcPr>
            <w:tcW w:type="dxa" w:w="2880"/>
          </w:tcPr>
          <w:p>
            <w:pPr>
              <w:spacing w:before="30" w:after="30"/>
              <w:jc w:val="left"/>
            </w:pPr>
            <w:r/>
            <w:r>
              <w:rPr>
                <w:sz w:val="17"/>
              </w:rPr>
              <w:t>2026-09-09</w:t>
            </w:r>
          </w:p>
        </w:tc>
        <w:tc>
          <w:tcPr>
            <w:tcW w:type="dxa" w:w="2880"/>
          </w:tcPr>
          <w:p>
            <w:pPr>
              <w:spacing w:before="30" w:after="30"/>
              <w:jc w:val="center"/>
            </w:pPr>
            <w:r/>
            <w:r>
              <w:rPr>
                <w:sz w:val="17"/>
              </w:rPr>
              <w:t>Presenting features re-abstracted with negation scoping and classified as recorded, explicitly denied or not described, replacing keyword matching</w:t>
            </w:r>
          </w:p>
        </w:tc>
        <w:tc>
          <w:tcPr>
            <w:tcW w:type="dxa" w:w="2880"/>
          </w:tcPr>
          <w:p>
            <w:pPr>
              <w:spacing w:before="30" w:after="30"/>
              <w:jc w:val="center"/>
            </w:pPr>
            <w:r/>
            <w:r>
              <w:rPr>
                <w:sz w:val="17"/>
              </w:rPr>
              <w:t>Keyword matching classified explicit denials as positives in 110 of 145 records for distension, 63 of 95 for bloody stool and 20 of 186 for bilious vomiting, diluting two genuine associations to the null; the features remain descriptive and were not added to the model</w:t>
            </w:r>
          </w:p>
        </w:tc>
      </w:tr>
      <w:tr>
        <w:tc>
          <w:tcPr>
            <w:tcW w:type="dxa" w:w="2880"/>
            <w:tcBorders>
              <w:bottom w:val="single" w:sz="12" w:color="000000"/>
            </w:tcBorders>
          </w:tcPr>
          <w:p>
            <w:pPr>
              <w:spacing w:before="30" w:after="30"/>
              <w:jc w:val="left"/>
            </w:pPr>
            <w:r/>
            <w:r>
              <w:rPr>
                <w:sz w:val="17"/>
              </w:rPr>
              <w:t>2026-08-03</w:t>
            </w:r>
          </w:p>
        </w:tc>
        <w:tc>
          <w:tcPr>
            <w:tcW w:type="dxa" w:w="2880"/>
            <w:tcBorders>
              <w:bottom w:val="single" w:sz="12" w:color="000000"/>
            </w:tcBorders>
          </w:tcPr>
          <w:p>
            <w:pPr>
              <w:spacing w:before="30" w:after="30"/>
              <w:jc w:val="center"/>
            </w:pPr>
            <w:r/>
            <w:r>
              <w:rPr>
                <w:sz w:val="17"/>
              </w:rPr>
              <w:t>Adjudication rule for operative notes silent on perfusion disclosed in Supplementary Methods S1</w:t>
            </w:r>
          </w:p>
        </w:tc>
        <w:tc>
          <w:tcPr>
            <w:tcW w:type="dxa" w:w="2880"/>
            <w:tcBorders>
              <w:bottom w:val="single" w:sz="12" w:color="000000"/>
            </w:tcBorders>
          </w:tcPr>
          <w:p>
            <w:pPr>
              <w:spacing w:before="30" w:after="30"/>
              <w:jc w:val="center"/>
            </w:pPr>
            <w:r/>
            <w:r>
              <w:rPr>
                <w:sz w:val="17"/>
              </w:rPr>
              <w:t>Transparency of the outcome definition</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