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Supplementary Methods</w:t>
      </w:r>
    </w:p>
    <w:p>
      <w:r>
        <w:t>Degree of rotation and duration of symptoms are independently associated with bowel compromise in children operated for acute midgut volvulus</w:t>
      </w:r>
    </w:p>
    <w:p>
      <w:pPr>
        <w:pStyle w:val="Heading1"/>
      </w:pPr>
      <w:r>
        <w:rPr>
          <w:rFonts w:ascii="Times New Roman" w:hAnsi="Times New Roman"/>
          <w:color w:val="000000"/>
        </w:rPr>
        <w:t>S1. Outcome adjudication</w:t>
      </w:r>
    </w:p>
    <w:p>
      <w:r>
        <w:t xml:space="preserve">The reference standard was the intraoperative finding recorded in the operative note, classified on a three-level scale defined a priori: </w:t>
      </w:r>
      <w:r>
        <w:rPr>
          <w:b/>
        </w:rPr>
        <w:t>0</w:t>
      </w:r>
      <w:r>
        <w:t xml:space="preserve">, normal perfusion; </w:t>
      </w:r>
      <w:r>
        <w:rPr>
          <w:b/>
        </w:rPr>
        <w:t>1</w:t>
      </w:r>
      <w:r>
        <w:t xml:space="preserve">, reversible ischemia (bowel appearing dusky, congested or poorly perfused that recovered after detorsion, warm saline packing or mesenteric block, </w:t>
      </w:r>
      <w:r>
        <w:rPr>
          <w:i/>
        </w:rPr>
        <w:t>without</w:t>
      </w:r>
      <w:r>
        <w:t xml:space="preserve"> resection); </w:t>
      </w:r>
      <w:r>
        <w:rPr>
          <w:b/>
        </w:rPr>
        <w:t>2</w:t>
      </w:r>
      <w:r>
        <w:t>, irreversible necrosis (frank necrosis or perforation, or bowel resection/stoma performed for vascular compromise). The primary outcome was bowel compromise (levels 1 or 2 versus 0); the key secondary outcome was irreversible necrosis (level 2 versus 0 or 1).</w:t>
      </w:r>
    </w:p>
    <w:p>
      <w:r>
        <w:t>The pre-specified adjudication manual instructed reviewers that negated expressions ("no necrosis", "no obvious necrosis") must not be coded as necrosis; that appendectomy alone does not constitute resection; and that bowel resection performed to excise a web, ectopic pancreas or diverticulum does not constitute necrosis and should be coded according to the perfusion actually described.</w:t>
      </w:r>
    </w:p>
    <w:p>
      <w:r>
        <w:t>Operative notes were first screened by a rule-based text-mining algorithm incorporating negation detection. Every record the algorithm could not classify, together with every record the algorithm classified as necrosis, was reviewed manually by a pediatric surgeon blinded to the laboratory data; 240 of the 414 patients in the source cohort (58.0%) were classified manually and the remainder retained the algorithmic label.</w:t>
      </w:r>
    </w:p>
    <w:p>
      <w:r>
        <w:t>In a random audit sample of 60 records, agreement between algorithmic and manual classification was κ = 0.844 for the three-level scale and κ = 0.773 for necrosis versus the rest, with no false-negative necrosis: misclassification occurred only in the false-positive direction, which is why all algorithm-positive records were reviewed. Of the 66 children in the source cohort whom the algorithm labeled as necrosis, manual review confirmed 19 and overturned 47. The source cohort contains 20 cases of necrosis in total: the twentieth was a record the algorithm could not classify — rather than one it classified as free of necrosis — which was therefore referred for manual review in any case, and which the reviewing surgeon coded as necrosis.</w:t>
      </w:r>
    </w:p>
    <w:p>
      <w:r>
        <w:t>Inter-rater reliability was assessed by a second pediatric surgeon who independently and blindly re-adjudicated 117 records: 57 drawn at random from those requiring manual classification, together with the entire audit sample of 60. Ninety-eight of the 117 belong to the source cohort, the remainder to children subsequently excluded. Agreement on the three-level scale was κ = 0.763 across all 117 records. For the two binary outcomes the 14 records that either reviewer coded as indeterminate had necessarily to be dropped, leaving 103: κ was 0.909 for the primary outcome and 1.000 for necrosis. Because the dropped records are by definition those on which classification was hardest, these two values apply to records that both reviewers were able to classify and are correspondingly optimistic.</w:t>
      </w:r>
    </w:p>
    <w:p>
      <w:r>
        <w:t>The twelve disagreements on the three-level scale were resolved by consensus using an explicit rule agreed in advance of resolution. Seven of the twelve followed the same pattern: one reviewer coded the record as normal perfusion, the other as indeterminate, the disagreement arising not from a difference of clinical judgment about the child but from a difference in how the two reviewers treated an operative note that described the exploration in full without at any point mentioning the perfusion of the bowel. The rule adopted — and applied throughout adjudication, not only to resolve these twelve records — was that such a note is coded as normal perfusion, on the reasoning that an abnormality of perfusion is a conspicuous intraoperative finding that a surgeon recording the rest of the exploration in detail would be unlikely to omit; a note too brief to describe the exploration at all, by contrast, is coded as indeterminate. The alternative — treating any note silent on perfusion as indeterminate — would have converted a substantial number of genuinely normal outcomes into missing data and introduced a selection bias of its own. This rule bears on the composition of the "normal perfusion" category throughout the cohort and is disclosed here for that reason; resolving the twelve disagreements themselves did not create or remove a primary-outcome event, since neither code corresponds to bowel compromise.</w:t>
      </w:r>
    </w:p>
    <w:p>
      <w:pPr>
        <w:pStyle w:val="Heading1"/>
      </w:pPr>
      <w:r>
        <w:rPr>
          <w:rFonts w:ascii="Times New Roman" w:hAnsi="Times New Roman"/>
          <w:color w:val="000000"/>
        </w:rPr>
        <w:t>S2. Abstraction of symptom duration</w:t>
      </w:r>
    </w:p>
    <w:p>
      <w:r>
        <w:t>The admission chief complaint in this institution follows a fixed convention: the presenting symptom or symptoms followed by their duration ("bilious vomiting for 2 days"; "abdominal distension for 12 hours"). Durations were parsed to hours.</w:t>
      </w:r>
    </w:p>
    <w:p>
      <w:r>
        <w:t>A numeral — Arabic, or one of the Chinese numerals 半 (half) through 十 (ten) and their compounds — followed optionally by 余 or 多 ("and a bit") and by one of the units 分钟 (minute), 小时 / h (hour), 天 or 日 (day), 周 (week), 月 (month) or 年 (year) was converted to hours, taking a month as 30 days and a year as 365 days. The qualifiers 余 and 多 were ignored rather than used to inflate the value, so that "十余天" was read as 10 days; this biases the abstracted duration slightly downwards in the small number of records using them.</w:t>
      </w:r>
    </w:p>
    <w:p>
      <w:r>
        <w:rPr>
          <w:b/>
        </w:rPr>
        <w:t>Total history versus current episode.</w:t>
      </w:r>
      <w:r>
        <w:t xml:space="preserve"> Where the complaint described a chronic course with an acute exacerbation ("intermittent vomiting for 3 years, recurrence for 1 week"), two durations were derived. The </w:t>
      </w:r>
      <w:r>
        <w:rPr>
          <w:i/>
        </w:rPr>
        <w:t>total</w:t>
      </w:r>
      <w:r>
        <w:t xml:space="preserve"> history is the longest duration stated anywhere in the complaint. The </w:t>
      </w:r>
      <w:r>
        <w:rPr>
          <w:i/>
        </w:rPr>
        <w:t>current episode</w:t>
      </w:r>
      <w:r>
        <w:t xml:space="preserve"> is the shortest duration stated after the first pivot word — 加重 (worsening), 再发 or 复发 (recurrence), 再次发作 (further episode), or 又 (again). Where no pivot word appears the two are identical. They differed in 18 of the 414 records.</w:t>
      </w:r>
    </w:p>
    <w:p>
      <w:r>
        <w:t>The current episode was used throughout, because it is the interval over which the present volvulus could have compromised the bowel; the total history was retained and used in sensitivity analysis. Taking the total history instead would have moved children with long-standing intermittent symptoms into the chronic stratum and excluded them from the analysis population, which is the behavior the pivot-word rule is designed to prevent.</w:t>
      </w:r>
    </w:p>
    <w:p>
      <w:r>
        <w:t>Duration was parsable in 413 of the 414 records (99.8%). The single failure was a complaint stating no interval at all. Duration as abstracted is what the family reported on admission, not the time at which the volvulus began, and is subject to recall and to the interval before presentation.</w:t>
      </w:r>
    </w:p>
    <w:p>
      <w:pPr>
        <w:pStyle w:val="Heading1"/>
      </w:pPr>
      <w:r>
        <w:rPr>
          <w:rFonts w:ascii="Times New Roman" w:hAnsi="Times New Roman"/>
          <w:color w:val="000000"/>
        </w:rPr>
        <w:t>S3. Abstraction of presenting features and the handling of negation</w:t>
      </w:r>
    </w:p>
    <w:p>
      <w:r>
        <w:t>Chinese admission notes record negative findings as a matter of routine, and often as coordinated lists ("no fever, no distension, no bloody stool"; "vomiting was non-projectile, containing no bile"). A keyword search therefore cannot distinguish a symptom from its denial. In an earlier version of this analysis, keyword matching alone classified as positive 110 of 145 records for abdominal distension, 63 of 95 for bloody stool and 20 of 186 for bilious vomiting that were in fact explicit denials.</w:t>
      </w:r>
    </w:p>
    <w:p>
      <w:r>
        <w:t xml:space="preserve">Each of the three presenting features was therefore classified into three states: </w:t>
      </w:r>
      <w:r>
        <w:rPr>
          <w:b/>
        </w:rPr>
        <w:t>recorded as present</w:t>
      </w:r>
      <w:r>
        <w:t xml:space="preserve">, </w:t>
      </w:r>
      <w:r>
        <w:rPr>
          <w:b/>
        </w:rPr>
        <w:t>explicitly denied</w:t>
      </w:r>
      <w:r>
        <w:t xml:space="preserve">, and </w:t>
      </w:r>
      <w:r>
        <w:rPr>
          <w:b/>
        </w:rPr>
        <w:t>not described</w:t>
      </w:r>
      <w:r>
        <w:t>. The rules below were developed by reading the source text — the frequency of each phrasing was tabulated before any rule was written — and were revised through five rounds of inspection, each round dumping the classified extracts for reading.</w:t>
      </w:r>
    </w:p>
    <w:p>
      <w:r>
        <w:t xml:space="preserve">1. </w:t>
      </w:r>
      <w:r>
        <w:rPr>
          <w:b/>
        </w:rPr>
        <w:t>Pseudo-negations are neutralized first.</w:t>
      </w:r>
      <w:r>
        <w:t xml:space="preserve"> Phrases in which a negative particle qualifies something other than the symptom are removed before scoping: 非喷射性 / 非喷射状 (non-projectile), 未消化 (undigested), 无明显诱因 (no apparent precipitant), 不详 / 不能提供 / 不能详细提供 (the family could not give details), 无产伤 / 无窒息 (no birth trauma, no asphyxia), 未见异常 (nothing abnormal found). Without this step "the vomitus contained a small amount of bile" was classified as a denial because the clause began "non-projectile".</w:t>
      </w:r>
    </w:p>
    <w:p>
      <w:r>
        <w:t xml:space="preserve">2. </w:t>
      </w:r>
      <w:r>
        <w:rPr>
          <w:b/>
        </w:rPr>
        <w:t>Compound negators are normalized.</w:t>
      </w:r>
      <w:r>
        <w:t xml:space="preserve"> 不伴 / 未伴 / 无伴 ("without accompanying") and 不含 ("not containing") are rewritten to the simple negator 无, because the 伴 and 含 they contain would otherwise be read as affirmative terminators and would end the negation scope at the very word that carries it. Without this step "no fever or distension" was classified as distension present.</w:t>
      </w:r>
    </w:p>
    <w:p>
      <w:r>
        <w:t xml:space="preserve">3. </w:t>
      </w:r>
      <w:r>
        <w:rPr>
          <w:b/>
        </w:rPr>
        <w:t>Negation scope.</w:t>
      </w:r>
      <w:r>
        <w:t xml:space="preserve"> Within a sentence, delimited by 。；！？, a negative cue (无, 未, 未见, 非, 否认, 没有, 不, 阴性) governs a keyword that follows it within fifteen characters, unless an affirmative term (有, 伴, 见, 出现, 呈, 为, 示, 含, 带, 排出, 加重, 系) intervenes. The affirmative terminator is what distinguishes "no bloody stool, with distension" — distension present — from "no bloody stool, no distension". The fifteen-character limit prevents a negation early in a long sentence from reaching a symptom described much later in it.</w:t>
      </w:r>
    </w:p>
    <w:p>
      <w:r>
        <w:t xml:space="preserve">4. </w:t>
      </w:r>
      <w:r>
        <w:rPr>
          <w:b/>
        </w:rPr>
        <w:t>Referent of color terms.</w:t>
      </w:r>
      <w:r>
        <w:t xml:space="preserve"> 黄绿色 and 草绿色 (yellow-green, grass-green) describe the vomitus in some records and the stool in others. A color term was attributed to the vomitus only where it was not immediately preceded by a term for stool or urine (大便, 小便, 粪, 尿, 排便) and where the same sentence referred to vomiting. Five records describing the color of the stool had been counted as bilious vomiting before this rule was applied.</w:t>
      </w:r>
    </w:p>
    <w:p>
      <w:r>
        <w:rPr>
          <w:b/>
        </w:rPr>
        <w:t>Verification.</w:t>
      </w:r>
      <w:r>
        <w:t xml:space="preserve"> Every record classified as an explicit denial was read individually (20 for bilious vomiting, 63 for bloody stool, 110 for abdominal distension), together with samples of those classified as present. One residual misclassification is known and is not correctable automatically: a record reading 呕吐物未黄绿色胃内容物, in which 未 (not) is a typographical error for 为 (was), is classified as a denial.</w:t>
      </w:r>
    </w:p>
    <w:p>
      <w:r>
        <w:t>These rules apply to the abstraction of presenting features only. The negation detection used in outcome adjudication (S1) is separate, was pre-specified, and its output was in any case subject to manual review.</w:t>
      </w:r>
    </w:p>
    <w:p>
      <w:pPr>
        <w:pStyle w:val="Heading1"/>
      </w:pPr>
      <w:r>
        <w:rPr>
          <w:rFonts w:ascii="Times New Roman" w:hAnsi="Times New Roman"/>
          <w:color w:val="000000"/>
        </w:rPr>
        <w:t>S4. Missing laboratory data</w:t>
      </w:r>
    </w:p>
    <w:p>
      <w:r>
        <w:t>C-reactive protein was unavailable in 107 of the 287 children (37.3%) and the absolute neutrophil count in 17 (5.9%). The analyses of inflammatory markers used complete cases, and the number of children contributing to each is stated with the result.</w:t>
      </w:r>
    </w:p>
    <w:p>
      <w:r>
        <w:t>Multiple imputation was not used. Whether a marker was measured reflects whether the test was ordered, which in these data depended on the clinical presentation — availability of CRP ranged from 45% to 65% across the three duration strata of the source cohort — so missingness cannot be assumed to be at random, and imputation under a missing-at-random assumption would not recover the missing values in a way that could be relied upon. Because the marker analyses are secondary and their result is negative, complete-case analysis was judged the more transparent choice for the primary report: it states plainly which children contributed, and an imputation model could only have made a null finding appear more precise than the data support. Complete-case analysis is, however, no less biased than imputation when data are not missing at random, so the null result was additionally examined by a pattern-mixture delta-adjustment. Among the 234 children whose CRP either preceded the day of surgery (123) or was never obtained (111), the adjusted odds ratio under missing-at-random imputation (m = 20) was 1.02 (0.70–1.50). Shifting the imputed values for the never-tested children by δ from −2 to +3 on the log2 scale left the association non-significant at every value examined, the smallest P being 0.176 at δ = +3; no tipping point was reached within a range far wider than is clinically plausible.</w:t>
      </w:r>
    </w:p>
    <w:p>
      <w:pPr>
        <w:pStyle w:val="Heading1"/>
      </w:pPr>
      <w:r>
        <w:rPr>
          <w:rFonts w:ascii="Times New Roman" w:hAnsi="Times New Roman"/>
          <w:color w:val="000000"/>
        </w:rPr>
        <w:t>S5. Literature search</w:t>
      </w:r>
    </w:p>
    <w:p>
      <w:r>
        <w:t>To establish what had already been reported about the relationship between the degree of volvulus and bowel injury, we searched PubMed and the Chinese databases Wanfang and CNKI, last searched 2 August 2026, without language or date restriction.</w:t>
      </w:r>
    </w:p>
    <w:p>
      <w:r>
        <w:t>Terms for volvulus were combined with terms for the degree, angle or number of turns of rotation, and with terms for bowel necrosis, ischemia, gangrene or resection. An initial search that required the term "malrotation" was found to miss series recruited as "intestinal volvulus" without that qualifier; the search was therefore repeated without it, and the studies recovered in that way are included in the Discussion. Where a study reported rotation in degrees, the full text was obtained, including in Korean and in Chinese.</w:t>
      </w:r>
    </w:p>
    <w:p>
      <w:r>
        <w:t>This was a targeted rather than a systematic review. We did not search Embase or Web of Science, and studies reporting rotation only in figures or in supplementary material may have been missed.</w:t>
      </w:r>
    </w:p>
    <w:p>
      <w:r>
        <w:rPr>
          <w:b/>
        </w:rPr>
        <w:t>A discrepancy within one of the cited series.</w:t>
      </w:r>
      <w:r>
        <w:t xml:space="preserve"> One of the three series that analyzed the degree of rotation against necrosis, in 21 neonates, reports in its abstract that a rotation of 720° or more carried a higher risk (odds ratio 5.0, P &lt; .01), whereas its Results and Discussion both state that there was no statistically significant relationship between the degree of rotation and intestinal necrosis. Recomputation from its own table (necrosis in 2 of 6 children at 720° or more against 1 of 15 below) gives an odds ratio of 7.0, a risk ratio of 5.0 and a two-sided Fisher exact P of 0.18; the figure quoted in the abstract as an odds ratio is the risk ratio, and the P value is not supported. The same table also identifies the analyzed degrees as the surgically proved rather than the sonographic ones, the denominators matching the operative column. This paper is therefore cited here according to its Results.</w:t>
      </w:r>
    </w:p>
    <w:p>
      <w:pPr>
        <w:pStyle w:val="Heading1"/>
      </w:pPr>
      <w:r>
        <w:rPr>
          <w:rFonts w:ascii="Times New Roman" w:hAnsi="Times New Roman"/>
          <w:color w:val="000000"/>
        </w:rPr>
        <w:t>S6. Statistical procedures in detail</w:t>
      </w:r>
    </w:p>
    <w:p>
      <w:r>
        <w:rPr>
          <w:b/>
        </w:rPr>
        <w:t>Minimum sample size.</w:t>
      </w:r>
      <w:r>
        <w:t xml:space="preserve"> The criteria of Riley et al. were applied to the model actually fitted.</w:t>
      </w:r>
    </w:p>
    <w:p>
      <w:r>
        <w:t>The outcome proportion was 0.220 and the apparent Cox–Snell R² 0.210; because the apparent</w:t>
      </w:r>
    </w:p>
    <w:p>
      <w:r>
        <w:t>value is optimistic and using it to judge the adequacy of the same model is circular, it was</w:t>
      </w:r>
    </w:p>
    <w:p>
      <w:r>
        <w:t>corrected for optimism by the same bootstrap procedure used for discrimination (1000 resamples,</w:t>
      </w:r>
    </w:p>
    <w:p>
      <w:r>
        <w:t>optimism 0.025), giving 0.186. With four parameters the three criteria then require 173</w:t>
      </w:r>
    </w:p>
    <w:p>
      <w:r>
        <w:t>participants (shrinkage of 0.9), 51 (apparent-minus-adjusted R² below 0.05) and 263 (overall</w:t>
      </w:r>
    </w:p>
    <w:p>
      <w:r>
        <w:t>risk estimated to within 0.05); 287 were available, so the binding criterion is met. The</w:t>
      </w:r>
    </w:p>
    <w:p>
      <w:r>
        <w:t>binding criterion is the third, which does not depend on R², so the conclusion is unchanged by</w:t>
      </w:r>
    </w:p>
    <w:p>
      <w:r>
        <w:t>the correction.</w:t>
      </w:r>
    </w:p>
    <w:p>
      <w:r>
        <w:rPr>
          <w:b/>
        </w:rPr>
        <w:t>Linearity on the logit scale.</w:t>
      </w:r>
      <w:r>
        <w:t xml:space="preserve"> For each continuous variable, indicator variables for</w:t>
      </w:r>
    </w:p>
    <w:p>
      <w:r>
        <w:t>clinically defined categories were added to the model already containing the linear term, and</w:t>
      </w:r>
    </w:p>
    <w:p>
      <w:r>
        <w:t>tested jointly by penalized likelihood ratio — a test of departure from linear trend, the two</w:t>
      </w:r>
    </w:p>
    <w:p>
      <w:r>
        <w:t>models being nested. Rotation was categorized by the five pre-specified strata (3 df,</w:t>
      </w:r>
    </w:p>
    <w:p>
      <w:r>
        <w:t>P = 0.957), symptom duration as ≤24 h, 24–72 h and &gt;72 h (P = 0.846), and age as ≤1 month,</w:t>
      </w:r>
    </w:p>
    <w:p>
      <w:r>
        <w:t>2–12 months and &gt;12 months (P = 0.977). Restricted cubic splines could not be used: age has a</w:t>
      </w:r>
    </w:p>
    <w:p>
      <w:r>
        <w:t>median of 0 months with 75.3% of children aged one month or less, and rotation takes only</w:t>
      </w:r>
    </w:p>
    <w:p>
      <w:r>
        <w:t>eleven distinct values with 48% at exactly 360°, so the quantiles at which knots would be</w:t>
      </w:r>
    </w:p>
    <w:p>
      <w:r>
        <w:t>placed are degenerate. With 63 events these tests have limited power; they do not establish</w:t>
      </w:r>
    </w:p>
    <w:p>
      <w:r>
        <w:t>linearity but give no reason to abandon it.</w:t>
      </w:r>
    </w:p>
    <w:p>
      <w:r>
        <w:rPr>
          <w:b/>
        </w:rPr>
        <w:t>Cut-point re-selection inside the bootstrap.</w:t>
      </w:r>
      <w:r>
        <w:t xml:space="preserve"> The Youden-optimal predicted probability was</w:t>
      </w:r>
    </w:p>
    <w:p>
      <w:r>
        <w:t>selected in the same data in which its operating characteristics were evaluated, so those</w:t>
      </w:r>
    </w:p>
    <w:p>
      <w:r>
        <w:t>characteristics are optimistic and a bootstrap that holds the cut-point fixed cannot capture</w:t>
      </w:r>
    </w:p>
    <w:p>
      <w:r>
        <w:t>that optimism. In each of 1000 resamples the model was refitted, the Youden cut-point was</w:t>
      </w:r>
    </w:p>
    <w:p>
      <w:r>
        <w:t>chosen afresh within the resample, and that cut-point was then applied to the original sample;</w:t>
      </w:r>
    </w:p>
    <w:p>
      <w:r>
        <w:t>the difference is the optimism of the whole procedure including selection. Sensitivity fell</w:t>
      </w:r>
    </w:p>
    <w:p>
      <w:r>
        <w:t>from 0.746 to 0.706 and specificity from 0.799 to 0.788. The selected cut-point had a median</w:t>
      </w:r>
    </w:p>
    <w:p>
      <w:r>
        <w:t>of 0.234 across resamples (interquartile range 0.197–0.291), and only 21% of resamples chose a</w:t>
      </w:r>
    </w:p>
    <w:p>
      <w:r>
        <w:t>value between 0.25 and 0.30, so the particular figure of 0.270 should not be taken as a</w:t>
      </w:r>
    </w:p>
    <w:p>
      <w:r>
        <w:t>recommended threshold.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