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节）；杨俊和卞宏强尚未确认，确认后生效。</w:t>
      </w:r>
      <w:r>
        <w:rPr>
          <w:rFonts w:ascii="Calibri" w:cs="Calibri" w:eastAsia="Microsoft YaHei" w:hAnsi="Calibri"/>
        </w:rPr>
        <w:t xml:space="preserve"> 决定表另有一页版本（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Full-text screening - decision sheet D1-D8.docx</w:t>
      </w:r>
      <w:r>
        <w:rPr>
          <w:rFonts w:ascii="Calibri" w:cs="Calibri" w:eastAsia="Microsoft YaHei" w:hAnsi="Calibri"/>
        </w:rPr>
        <w:t xml:space="preserve">），供三位签字确认。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（卞宏强）；每次用完另存一份带日期的副本（如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 Include 对 Pending IPD 也当作分歧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Exclude；这是 Claude 的读法，需要三位确认）。加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篇在正式筛选里照样再处理一遍。抽样由 Claude 做（固定随机种子，清单和种子写进仓库）；抽样前不向筛选员透露任何一篇的内容或判断。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的建议；杨俊、卞宏强尚未确认）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卞宏强；舒俊为筛选员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2026-10-17T22:51:57.304Z</dcterms:created>
  <dcterms:modified xsi:type="dcterms:W3CDTF">2026-10-17T22:51:57.310Z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