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正式提取和偏倚风险比对：一页汇总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只含汇总数字，不含逐例内容，可给全体作者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7492"/>
      </w:tblGrid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正式提取和偏倚风险比对汇总 v2026-10-26a（草稿）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依据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10 月 26 日对 E1、E2、R1、R2 的比对（作者转告杨俊已拿到四份文件）。这是两人各自独立填写后、讨论和仲裁前的数字。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作者之间了解进度；方法部分报告提取一致性时的原始数。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讨论、仲裁后一致性的数字会更高，论文里报告哪一个要作者定。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1. 提取（E1 对 E2）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4"/>
        <w:gridCol w:w="5212"/>
      </w:tblGrid>
      <w:tr>
        <w:trPr>
          <w:cantSplit/>
          <w:tblHeader/>
        </w:trPr>
        <w:tc>
          <w:tcPr>
            <w:tcW w:type="dxa" w:w="3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5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数值</w:t>
            </w:r>
          </w:p>
        </w:tc>
      </w:tr>
      <w:tr>
        <w:trPr>
          <w:cantSplit/>
          <w:tblHeader w:val="false"/>
        </w:trPr>
        <w:tc>
          <w:tcPr>
            <w:tcW w:type="dxa" w:w="3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两人都提取的报告</w:t>
            </w:r>
          </w:p>
        </w:tc>
        <w:tc>
          <w:tcPr>
            <w:tcW w:type="dxa" w:w="5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269（两人覆盖相同的报告）</w:t>
            </w:r>
          </w:p>
        </w:tc>
      </w:tr>
      <w:tr>
        <w:trPr>
          <w:cantSplit/>
          <w:tblHeader w:val="false"/>
        </w:trPr>
        <w:tc>
          <w:tcPr>
            <w:tcW w:type="dxa" w:w="3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患儿行数</w:t>
            </w:r>
          </w:p>
        </w:tc>
        <w:tc>
          <w:tcPr>
            <w:tcW w:type="dxa" w:w="5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E1 351，E2 329；按编号配上 325 例，只在 E1 26 例，只在 E2 4 例</w:t>
            </w:r>
          </w:p>
        </w:tc>
      </w:tr>
      <w:tr>
        <w:trPr>
          <w:cantSplit/>
          <w:tblHeader w:val="false"/>
        </w:trPr>
        <w:tc>
          <w:tcPr>
            <w:tcW w:type="dxa" w:w="3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儿童数或行数不同的报告</w:t>
            </w:r>
          </w:p>
        </w:tc>
        <w:tc>
          <w:tcPr>
            <w:tcW w:type="dxa" w:w="5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 篇</w:t>
            </w:r>
          </w:p>
        </w:tc>
      </w:tr>
      <w:tr>
        <w:trPr>
          <w:cantSplit/>
          <w:tblHeader w:val="false"/>
        </w:trPr>
        <w:tc>
          <w:tcPr>
            <w:tcW w:type="dxa" w:w="3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主要暴露（病程天数，四类加 NR）一致率</w:t>
            </w:r>
          </w:p>
        </w:tc>
        <w:tc>
          <w:tcPr>
            <w:tcW w:type="dxa" w:w="5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68.0%，kappa 0.57（粗略 95% 区间 0.50–0.64）</w:t>
            </w:r>
          </w:p>
        </w:tc>
      </w:tr>
      <w:tr>
        <w:trPr>
          <w:cantSplit/>
          <w:tblHeader w:val="false"/>
        </w:trPr>
        <w:tc>
          <w:tcPr>
            <w:tcW w:type="dxa" w:w="3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天数在容差内（0.5 天或 10%）一致</w:t>
            </w:r>
          </w:p>
        </w:tc>
        <w:tc>
          <w:tcPr>
            <w:tcW w:type="dxa" w:w="5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213 / 325</w:t>
            </w:r>
          </w:p>
        </w:tc>
      </w:tr>
      <w:tr>
        <w:trPr>
          <w:cantSplit/>
          <w:tblHeader w:val="false"/>
        </w:trPr>
        <w:tc>
          <w:tcPr>
            <w:tcW w:type="dxa" w:w="3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主要结局（非存活脾 / 存活脾 / 其他）一致率</w:t>
            </w:r>
          </w:p>
        </w:tc>
        <w:tc>
          <w:tcPr>
            <w:tcW w:type="dxa" w:w="5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72.9%，kappa 0.57（0.49–0.64）</w:t>
            </w:r>
          </w:p>
        </w:tc>
      </w:tr>
      <w:tr>
        <w:trPr>
          <w:cantSplit/>
          <w:tblHeader w:val="false"/>
        </w:trPr>
        <w:tc>
          <w:tcPr>
            <w:tcW w:type="dxa" w:w="3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原始 viability 字段一致率</w:t>
            </w:r>
          </w:p>
        </w:tc>
        <w:tc>
          <w:tcPr>
            <w:tcW w:type="dxa" w:w="5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67.4%，kappa 0.53（0.46–0.60）</w:t>
            </w:r>
          </w:p>
        </w:tc>
      </w:tr>
      <w:tr>
        <w:trPr>
          <w:cantSplit/>
          <w:tblHeader w:val="false"/>
        </w:trPr>
        <w:tc>
          <w:tcPr>
            <w:tcW w:type="dxa" w:w="3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56 个编码字段整体一致率</w:t>
            </w:r>
          </w:p>
        </w:tc>
        <w:tc>
          <w:tcPr>
            <w:tcW w:type="dxa" w:w="5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66.4%（比较 16154 个值，一致 10731，一方空白 1561，不同 3862）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怎么读：</w:t>
      </w:r>
      <w:r>
        <w:rPr>
          <w:rFonts w:ascii="Calibri" w:cs="Calibri" w:eastAsia="Microsoft YaHei" w:hAnsi="Calibri"/>
        </w:rPr>
        <w:t xml:space="preserve"> 暴露和结局的 kappa 都是中等（0.5–0.6）。分歧最大的是一类模式：一方给了数而另一方填 NR（活力 68 + 21 例，病程天数 65 + 24 例），不是两人给出了相互矛盾的数。这类分歧主要是约定的理解问题（什么算“作者直接描述了活力”，什么算“下限”），可以通过统一规则解决。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2. 偏倚风险（R1 对 R2，269 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cantSplit/>
          <w:tblHeader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条目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一致率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kappa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选择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93.7%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0.27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暴露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61.3%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0.15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结局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63.6%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0.16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其他解释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42.0%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随访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64.7%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0.39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75.5%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0.06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至少一个条目不同的报告：228 / 269。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按“暴露、结局、报告都是 Yes 才算 adequate”重算：R1 144 篇 Yes，R2 161 篇 Yes；adequate 一致 162 篇，不同 107 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敏感性分析 5 需要的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rob.csv</w:t>
      </w:r>
      <w:r>
        <w:rPr>
          <w:rFonts w:ascii="Calibri" w:cs="Calibri" w:eastAsia="Microsoft YaHei" w:hAnsi="Calibri"/>
        </w:rPr>
        <w:t xml:space="preserve"> 草稿目前只含暴露、结局、报告三项完全一致的 104 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选择条目一致率高而 kappa 低，是因为两人几乎都填 Unclear，不代表两人判断相反。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3. 下一步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杨俊主持讨论清单（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Extraction and risk-of-bias comparison - discussion list</w:t>
      </w:r>
      <w:r>
        <w:rPr>
          <w:rFonts w:ascii="Calibri" w:cs="Calibri" w:eastAsia="Microsoft YaHei" w:hAnsi="Calibri"/>
        </w:rPr>
        <w:t xml:space="preserve">）上的议题，先统一偏倚风险四个条目的读法和 X13、X16 的适用范围。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补齐患儿覆盖（E2 的 WS1859 和五篇裁入报告；E1 的 WS1859 P17）。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两人改自己的文件，重新检查和比对，再合并共识表和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rob.csv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Ji Wang 在共识表上做重复患儿和单位核对，再运行分析脚本。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没有核实的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数字来自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tools/compare_extraction.py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tools/compare_rob.py</w:t>
      </w:r>
      <w:r>
        <w:rPr>
          <w:rFonts w:ascii="Calibri" w:cs="Calibri" w:eastAsia="Microsoft YaHei" w:hAnsi="Calibri"/>
        </w:rPr>
        <w:t xml:space="preserve">，没有人逐例核对；kappa 的区间是粗略公式。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版式没有在 Word 里看过。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提取和偏倚风险比对汇总 v2026-10-26a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2026-10-26T05:12:33.345Z</dcterms:created>
  <dcterms:modified xsi:type="dcterms:W3CDTF">2026-10-26T05:12:33.346Z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