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v2026-10-25b（草稿）。标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改动（2026-10-19，分层）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篇校准的分层要求（中文 3、系列 3、时间写法四种各 1、只写“脾扭转”1、未手术 1）作者 2026 年 10 月 19 日确认，抽样等全文名单出来后再做。规则没有变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篇校准里两条选择，舒俊（E1）和卞红强（E2）都同意（作者 2026 年 10 月 19 日转告）：预试验的 53 篇不进；靠邮件拿到个体数据的报告不进，只从已发表个体数据的 Include 里抽。规则没有变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改动（2026-10-25，起始表）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篇校准有现成的起始表：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tools/make_calibration_starters.py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）。表里只预填了 10 个 WS 编号和提取员代码，另有一张 Calibration_list（编号、标题、DOI、链接）；Patients 表是空的。只是省去手工填编号，规则没有变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改动（2026-10-25，已抽样）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全文名单已确定（269 篇纳入，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fulltext_finalize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2026 年 10 月 25 日的结果），10 篇校准按第 10 节第 1 步抽出，种子 20261019，结果在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。名单里中文 3、系列 3 达到要求；“范围”类时间写法按摘要关键词一篇也没有找到，没有硬凑（见第 10 节）。规则没有变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条时间换算规则）；《提取工作簿》v2026-10-19e；比对脚本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）。2026 年 10 月 25 日 finalize 的结果是 269 篇（待 IPD 的 5 篇不在内）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另存（做 10 篇校准时，从起始表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extraction_E?_calibration_starter.xlsx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另存也可以，结构相同）。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日定的，早于任何全文决定，抽样结果因此不会受筛选结果的影响；名单已于 2026 年 10 月 25 日确定（269 篇），当天抽出了 10 篇。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里抽（靠邮件拿到个体数据的不进校准，以后正式提取时再做；两位提取员都同意）；预试验的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舒俊和卞红强都同意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篇（作者 2026 年 10 月 19 日确认这些分层要求）。中文、系列和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；哪一层凑不够，脚本在设计文件里写明，不硬凑；这次“范围”一层在候选里按摘要关键词一篇也没有，所以没有凑够。本院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v2026-10-19e。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v2026-10-25b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2026-10-25T04:00:23.340Z</dcterms:created>
  <dcterms:modified xsi:type="dcterms:W3CDTF">2026-10-25T04:00:23.342Z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