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1.2, 4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deduplication done with a documented script and checked in EndNote (Section 14, Appendix B); Embase and Google Scholar were not searched and citation searching was not completed (see Appendices A2, A8 and B);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for differently written author names; the tiers are listed in Appendix B), and EndNote’s duplicate finder was then run on the result as a check. The deduplicated records will be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Rule-based script (tools/dedup.py; tiers: DOI, title+author+year, similar title, author+year+volume+page, title+volume+pages, Chinese title+year+journal+pages, title+year+journal+volume), 4 October 2026; 4,906 identified, 2,358 duplicates removed; EndNote duplicate finder (default criteria) flagged only known distinct publications by the same authors and bee-keeping patents; looser check done by script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2026-10-04T16:13:33.565Z</dcterms:created>
  <dcterms:modified xsi:type="dcterms:W3CDTF">2026-10-04T16:13:33.566Z</dcterms:modified>
</cp:coreProperties>
</file>

<file path=docProps/custom.xml><?xml version="1.0" encoding="utf-8"?>
<Properties xmlns="http://schemas.openxmlformats.org/officeDocument/2006/custom-properties" xmlns:vt="http://schemas.openxmlformats.org/officeDocument/2006/docPropsVTypes"/>
</file>