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1.5: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Eligibility criteria, exposures, outcomes and the analysis plan were not changed in versions 1.1 to 1.4.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The review question, the primary exposure and the primary outcome are unchanged. </w:t>
      </w:r>
      <w:r>
        <w:rPr>
          <w:rFonts w:ascii="Times New Roman" w:cs="Times New Roman" w:eastAsia="Microsoft YaHei" w:hAnsi="Times New Roman"/>
          <w:b/>
          <w:bCs/>
        </w:rPr>
        <w:t xml:space="preserve">[PENDING: the PROSPERO record itself has not yet been amended; give the date of the amendment once it has been submitted.]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a log of working times,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were to extract data independently for every included patient with a pre-specified form (Additional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Times New Roman" w:cs="Times New Roman" w:eastAsia="Microsoft YaHei" w:hAnsi="Times New Roman"/>
          <w:b/>
          <w:bCs/>
        </w:rPr>
        <w:t xml:space="preserve">[PENDING: who the two extraction reviewers are (to be named in the PROSPERO record before extraction starts), the actual extraction process, calibration result, kappa,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One analysis that was not registered was added: omission of children who were included on the basis of splenic pedicle torsion alone, without a stated position of the spleen. </w:t>
      </w:r>
      <w:r>
        <w:rPr>
          <w:rFonts w:ascii="Times New Roman" w:cs="Times New Roman" w:eastAsia="Microsoft YaHei" w:hAnsi="Times New Roman"/>
          <w:b/>
          <w:bCs/>
        </w:rPr>
        <w:t xml:space="preserve">[PENDING: confirm the added analysis with the statistician.]</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listed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An analysis added after registration, omitting children included because of pedicle torsion alone, was also done.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Analysis 9 was not registered.</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choose the route.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where privacy could be compromised, the reason and the conditions of access must be stated.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 also encourages depositing the search strings on searchRxiv and citing the dataset in the reference list with a persistent identifier.]</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and HB (full-text stage) as second reviewers,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the individual patient dataset (route and format pending, see Availability of data and materials).</w:t>
      </w:r>
    </w:p>
    <w:p>
      <w:pPr>
        <w:pStyle w:val="ListParagraph"/>
        <w:numPr>
          <w:ilvl w:val="0"/>
          <w:numId w:val="2"/>
        </w:numPr>
        <w:spacing w:after="60" w:line="480" w:lineRule="auto"/>
      </w:pPr>
      <w:r>
        <w:rPr>
          <w:rFonts w:ascii="Times New Roman" w:cs="Times New Roman" w:eastAsia="Microsoft YaHei" w:hAnsi="Times New Roman"/>
        </w:rPr>
        <w:t xml:space="preserve">Additional file 4 (format to be decided): PRISMA 2020 and PRISMA-IPD checklists.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(18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2026-10-18T06:01:57.355Z</dcterms:created>
  <dcterms:modified xsi:type="dcterms:W3CDTF">2026-10-18T06:01:57.355Z</dcterms:modified>
</cp:coreProperties>
</file>

<file path=docProps/custom.xml><?xml version="1.0" encoding="utf-8"?>
<Properties xmlns="http://schemas.openxmlformats.org/officeDocument/2006/custom-properties" xmlns:vt="http://schemas.openxmlformats.org/officeDocument/2006/docPropsVTypes"/>
</file>