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Splenic loss was associated with delay rather than with operative technique;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splenic loss was associated with the interval between the first symptomatic episode and definitive surgery, not with the operative technique.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[5, 9].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requires no prosthetic material and no retroperitoneal dissection, and, unlike mesh or pouch fixation, does not depend on the spleen fitting within a wrap or pocket - a property that should in principle extend to the enlarged spleen, although this remains untested (see below).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two limitations. First, the association between delay and splenic loss is descriptive rather than causal: the cohort comprised only children who ultimately underwent splenic surgery, excluding any diagnosed but never operated on, and with five patients and no statistical comparison, confounding cannot be excluded. Second,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splenic loss was more often associated with delay than with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2026-09-21T12:30:35.397Z</dcterms:created>
  <dcterms:modified xsi:type="dcterms:W3CDTF">2026-09-21T12:30:35.397Z</dcterms:modified>
</cp:coreProperties>
</file>

<file path=docProps/custom.xml><?xml version="1.0" encoding="utf-8"?>
<Properties xmlns="http://schemas.openxmlformats.org/officeDocument/2006/custom-properties" xmlns:vt="http://schemas.openxmlformats.org/officeDocument/2006/docPropsVTypes"/>
</file>