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delayed intervention,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Delay, rather than operative technique, was the dominant determinant of splenic loss;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the determinant of splenic loss was not the operative technique but the interval between the first symptomatic episode and definitive surgery.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is quick, requires no prosthetic material and no retroperitoneal dissection, and is in principle independent of splenic size, which makes it attractive after a failed splenopexy.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an obvious limitation: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the spleen is more often lost to delay than to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2026-09-21T08:46:43.996Z</dcterms:created>
  <dcterms:modified xsi:type="dcterms:W3CDTF">2026-09-21T08:46:43.996Z</dcterms:modified>
</cp:coreProperties>
</file>

<file path=docProps/custom.xml><?xml version="1.0" encoding="utf-8"?>
<Properties xmlns="http://schemas.openxmlformats.org/officeDocument/2006/custom-properties" xmlns:vt="http://schemas.openxmlformats.org/officeDocument/2006/docPropsVTypes"/>
</file>