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1.5, 18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deduplication done with a documented script and checked in EndNote (Section 14, Appendix B); Embase and Google Scholar were not searched and citation searching was not completed (see Appendices A2, A8 and B); eligibility criteria, exposures, outcomes and analysis are unchanged. Version 1.3 (7 October 2026): the screening procedure actually set up (calibration result, screening guide rules, handling of disagreements, agreement reporting) added to Section 14, and the stage of review at amendment added to Section 1; eligibility criteria, exposures, outcomes and analysis are unchanged. Version 1.4 (11 October 2026): the stage of review at amendment corrected, because formal screening in Rayyan had already started (according to the project log, the first reviewer recorded four decisions on 7 October 2026 to create exclusion reasons, and the second reviewer's first decisions were recorded between 7 and 11 October 2026), and the status of formal screening added to Section 14; the screening procedure, eligibility criteria, exposures, outcomes and analysis are unchanged. Version 1.5 (18 October 2026): the title and abstract stage is complete, and Section 14 now describes how it was carried out, including the respects in which it departed from the plan (the second reviewer's first-round decisions, made with an AI coding agent, were not used; the re-screen was entered at a pace that does not allow it to be treated as an independent reading; the adjudicator judged every disagreement and a sample of agreed exclusions blind); the full-text stage is described, with changes decided before any full text was sought (reports published before 2000 are not sought; the second full-text reviewer is not the one registered; decision rules; full-text records are kept in a spreadsheet instead of Rayyan); the reviewers for data extraction are named; the consequences of the date rule for the analysis plan (Sections 16 and 18) are stated; the stage of review is updated; the plan for sharing individual patient data (Dissemination plans) is made more specific; and a screening log is added as Appendix D. Eligibility criteria other than the date rule, exposures, outcomes and the rest of the analysis plan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Stage of review at the time of amendment (version 1.5, 18 October 2026)</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 (title and abstract stage: calibration on 50 records)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 (title and abstract stage complete; full-text stage not started)</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120" w:before="80" w:line="300"/>
        <w:jc w:val="both"/>
      </w:pPr>
      <w:r>
        <w:rPr>
          <w:rFonts w:ascii="Times New Roman" w:cs="Times New Roman" w:eastAsia="SimSun" w:hAnsi="Times New Roman"/>
          <w:sz w:val="22"/>
          <w:szCs w:val="22"/>
        </w:rPr>
        <w:t xml:space="preserve">Title and abstract screening of 2,548 records was completed on 17 October 2026 (Section 14, Appendix D). Full-text assessment has not started; a calibration on 20 reports has been prepared but not yet done. No data have been extracted.</w:t>
      </w:r>
    </w:p>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 (one piloted report, published in 1998, falls under the date rule added in version 1.5 and will not be extracted; see Section 14).</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both"/>
      </w:pPr>
      <w:r>
        <w:rPr>
          <w:rFonts w:ascii="Times New Roman" w:cs="Times New Roman" w:eastAsia="SimSun" w:hAnsi="Times New Roman"/>
          <w:sz w:val="22"/>
          <w:szCs w:val="22"/>
        </w:rPr>
        <w:t xml:space="preserve">Roles as registered: independent reviewer 1, Jun Shu; independent reviewer 2, Fei Peng; adjudicator, Jun Yang; statistical analysis, Ji Wang. Roles from version 1.5: title and abstract stage, reviewers Jun Shu and Fei Peng, with Jun Yang as adjudicator; full-text stage, reviewers Jun Shu and Hongqiang Bian, with Jun Yang as adjudicator; data extraction, reviewers Jun Shu and Hongqiang Bian, with Jun Yang as adjudicator of disagreements, and Ji Wang, who does not extract data, checking the extraction files for values out of range, unit errors and duplicate patients; statistical analysis, Ji Wang. The change of second reviewer for the full-text stage was decided by the review team on 18 October 2026, and the roles for data extraction were decided on the same day.</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 Added in version 1.5: reports published before 2000 will be listed and counted but not sought in full text (Section 14).</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for differently written author names; the tiers are listed in Appendix B), and EndNote’s duplicate finder was then run on the result as a check. The deduplicated records will be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b/>
          <w:bCs/>
          <w:sz w:val="22"/>
          <w:szCs w:val="22"/>
        </w:rPr>
        <w:t xml:space="preserve">Screening procedure as set up (added in version 1.3; the independence of the two readings and the handling of disagreements described here were not carried out as written, see the next two paragraphs). </w:t>
      </w:r>
      <w:r>
        <w:rPr>
          <w:rFonts w:ascii="Times New Roman" w:cs="Times New Roman" w:eastAsia="SimSun" w:hAnsi="Times New Roman"/>
          <w:sz w:val="22"/>
          <w:szCs w:val="22"/>
        </w:rPr>
        <w:t xml:space="preserve">Screening is done in Rayyan with its blind mode on until both reviewers have finished a stage; author and journal details are hidden. Before formal screening, the two reviewers independently screened a random calibration set of 50 of the 2,548 deduplicated records (random seed 20261004) and compared their decisions (Include, Maybe, Exclude): they agreed on 45 of 50 records (90.0%; Cohen's kappa 0.83), and all five disagreements were among the 11 records without an abstract. Author and journal details were visible to both reviewers during part of the calibration. A written screening guide, revised after the calibration, applies the eligibility criteria above without changing them. Its main rules are: when in doubt, choose Maybe; an Exclude decision at the title and abstract stage must carry one of six fixed reasons (not human; not wandering spleen; adults only; no original patient data; not a formal article; other); records without an abstract are judged on the title and may be rated Maybe or Exclude only; conference papers with an abstract only are excluded as not a formal article; theses with clinical data and series that mix children and adults are kept as Maybe for full-text assessment. Rayyan's artificial-intelligence functions, its automatic duplicate detection and automatic duplicate resolution are not used. Where one reviewer excludes and the other includes or marks Maybe, the two reviewers discuss the record and, if they do not agree, the adjudicator (JY) decides from an exported list outside Rayyan; each step is recorded and the completed list is kept with the review files. Differences between Include and Maybe, which both lead to full-text assessment, are counted and reported but not adjudicated. Agreement at the title and abstract stage will be reported as Cohen's kappa, in addition to the kappa for data extraction.</w:t>
      </w:r>
    </w:p>
    <w:p>
      <w:pPr>
        <w:spacing w:after="120" w:line="300"/>
        <w:jc w:val="both"/>
      </w:pPr>
      <w:r>
        <w:rPr>
          <w:rFonts w:ascii="Times New Roman" w:cs="Times New Roman" w:eastAsia="SimSun" w:hAnsi="Times New Roman"/>
          <w:b/>
          <w:bCs/>
          <w:sz w:val="22"/>
          <w:szCs w:val="22"/>
        </w:rPr>
        <w:t xml:space="preserve">Title and abstract screening as carried out (added in version 1.5; replaces the status paragraph of version 1.4). </w:t>
      </w:r>
      <w:r>
        <w:rPr>
          <w:rFonts w:ascii="Times New Roman" w:cs="Times New Roman" w:eastAsia="SimSun" w:hAnsi="Times New Roman"/>
          <w:sz w:val="22"/>
          <w:szCs w:val="22"/>
        </w:rPr>
        <w:t xml:space="preserve">The title and abstract stage of the 2,548 deduplicated records was completed on 17 October 2026. It departed from the plan in two respects, which are reported because they affect how the result should be read. (1) First round, 7–12 October 2026. The first reviewer recorded decisions between 7 and 12 October 2026, one at a time, at a median interval of 9.4 seconds. The second reviewer's account recorded about 2,370 of its 2,548 first decisions between 10 and 11 October 2026, at a median interval of about 2 seconds, in list order and partly as multi-record actions. The second reviewer reported that an AI coding agent (Codex) had been used to make these decisions. That was contrary to the written screening rules. These decisions were not used to decide which records go forward; they are kept as a separate dataset. (2) Re-screen, 17 October 2026, in a new blind Rayyan project. The second reviewer was asked to re-screen all 2,548 records by reading each title and abstract without any AI tool. The project log shows that the decisions were received at a median interval of 0.45 seconds (88% within one second; about 2,500 decisions within 76 minutes), which is not compatible with reading each title and abstract at the time of entry. The second reviewer reports that the records were read while clicking and that no AI tool was used; the log can neither confirm nor refute this. The re-screen is therefore not treated as a second independent reading. In addition, after the first project was unblinded on 12 October 2026 the second reviewer could have seen the first reviewer's decisions; whether this happened has not been established.</w:t>
      </w:r>
    </w:p>
    <w:p>
      <w:pPr>
        <w:spacing w:after="120" w:line="300"/>
        <w:jc w:val="both"/>
      </w:pPr>
      <w:r>
        <w:rPr>
          <w:rFonts w:ascii="Times New Roman" w:cs="Times New Roman" w:eastAsia="SimSun" w:hAnsi="Times New Roman"/>
          <w:b/>
          <w:bCs/>
          <w:sz w:val="22"/>
          <w:szCs w:val="22"/>
        </w:rPr>
        <w:t xml:space="preserve">How the list for full-text assessment was made (added in version 1.5). </w:t>
      </w:r>
      <w:r>
        <w:rPr>
          <w:rFonts w:ascii="Times New Roman" w:cs="Times New Roman" w:eastAsia="SimSun" w:hAnsi="Times New Roman"/>
          <w:sz w:val="22"/>
          <w:szCs w:val="22"/>
        </w:rPr>
        <w:t xml:space="preserve">On 16 October 2026, before any re-screen decision was recorded, the team fixed in writing that, in the comparison of the two reviewers, the first reviewer's 310 Exclude decisions that carried no exclusion reason would be treated as Maybe, as the screening guide requires; the recorded decisions were not edited. The adjudicator (JY) then judged, blind to both reviewers' decisions, (a) all 734 records on which one reviewer excluded and the other did not; (b) 192 records excluded by both reviewers that were flagged as possibly relevant, either by a word rule (93; a wandering- or torsion-related word together with a child-related word in the title or abstract) or because they had no abstract (99); and (c) a random sample of 60 of the other records excluded by both. A rule fixed before the adjudicator began said that if the adjudicator advanced more than 10% of the 192 flagged records, or at least two of the 60 sampled records, the adjudicator would also judge every other record excluded by both reviewers for which either reviewer's reason was ‘not wandering spleen’ or ‘adults only’. The first condition was met (42 of the 192 flagged records advanced; none of the 60 sampled), and the adjudicator judged a further 616 records, of which 12 advanced. The 184 records excluded by both reviewers as ‘non-human’ or ‘not a formal article’ were not re-judged. In total 1,064 of the 2,548 records go to full-text assessment (762 advanced by both reviewers; 248 of the 734 disagreements advanced by the adjudicator; 54 records excluded by both reviewers advanced by the adjudicator) and 1,484 were excluded at this stage (Appendix D). The list therefore rests on the reviewers' agreed advances and on the adjudicator's blind judgement of every disagreement and of checks on agreed exclusions, not on two independent readings of every record. The adjudicator is one person, and the adjudicator's judgements are not a reference standard. Agreement between the two reviewers will be reported with these caveats.</w:t>
      </w:r>
    </w:p>
    <w:p>
      <w:pPr>
        <w:spacing w:after="60" w:line="300"/>
        <w:jc w:val="both"/>
      </w:pPr>
      <w:r>
        <w:rPr>
          <w:rFonts w:ascii="Times New Roman" w:cs="Times New Roman" w:eastAsia="SimSun" w:hAnsi="Times New Roman"/>
          <w:b/>
          <w:bCs/>
          <w:sz w:val="22"/>
          <w:szCs w:val="22"/>
        </w:rPr>
        <w:t xml:space="preserve">Full-text assessment: changes decided before any full text was sought (added in version 1.5). </w:t>
      </w:r>
      <w:r>
        <w:rPr>
          <w:rFonts w:ascii="Times New Roman" w:cs="Times New Roman" w:eastAsia="SimSun" w:hAnsi="Times New Roman"/>
          <w:sz w:val="22"/>
          <w:szCs w:val="22"/>
        </w:rPr>
        <w:t xml:space="preserve">The following were decided on 17 and 18 October 2026, before any full text was sought and before any data were extracted.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Publication date. </w:t>
      </w:r>
      <w:r>
        <w:rPr>
          <w:rFonts w:ascii="Times New Roman" w:cs="Times New Roman" w:eastAsia="SimSun" w:hAnsi="Times New Roman"/>
          <w:sz w:val="22"/>
          <w:szCs w:val="22"/>
        </w:rPr>
        <w:t xml:space="preserve">Reports published before 2000 are listed and counted but not sought in full text. This departs from the registered eligibility criteria, which set no date limit. The reason is feasibility: most of these reports have no abstract and are expected to be difficult to retrieve. It is not a judgement that older reports are less reliable. Of the 1,091 records on the full-text list, 485 fall under this rule (162 of them are also in languages other than English and Chinese). One of the 45 piloted reports with individual patient data (published 1998, one child) falls under the rule and will not be extracted; the effect on the results is unknown.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Language. </w:t>
      </w:r>
      <w:r>
        <w:rPr>
          <w:rFonts w:ascii="Times New Roman" w:cs="Times New Roman" w:eastAsia="SimSun" w:hAnsi="Times New Roman"/>
          <w:sz w:val="22"/>
          <w:szCs w:val="22"/>
        </w:rPr>
        <w:t xml:space="preserve">Records published in 2000 or later in languages other than English and Chinese (66) are listed and counted, not retrieved, as registered.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Records sought. </w:t>
      </w:r>
      <w:r>
        <w:rPr>
          <w:rFonts w:ascii="Times New Roman" w:cs="Times New Roman" w:eastAsia="SimSun" w:hAnsi="Times New Roman"/>
          <w:sz w:val="22"/>
          <w:szCs w:val="22"/>
        </w:rPr>
        <w:t xml:space="preserve">The full-text list has 1,091 records: the 1,064 above plus 27 records that the adjudicator excluded as ‘no original patient data’ but the second reviewer had advanced. These 27 are assessed in full text, as a departure from the rule that the adjudicator's decision settles a disagreement, because a judgement about study design made on an abstract can hide a case series. Of the 1,091, 540 are to be retrieved (439 in English, 101 in Chinese; 362 with an abstract), 485 are not sought (published before 2000) and 66 are in other languages.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Reviewers and records. </w:t>
      </w:r>
      <w:r>
        <w:rPr>
          <w:rFonts w:ascii="Times New Roman" w:cs="Times New Roman" w:eastAsia="SimSun" w:hAnsi="Times New Roman"/>
          <w:sz w:val="22"/>
          <w:szCs w:val="22"/>
        </w:rPr>
        <w:t xml:space="preserve">Full-text assessment is done by Jun Shu and Hongqiang Bian, with Jun Yang as adjudicator; the second reviewer is therefore not the one registered. Each reviewer keeps a separate spreadsheet log (decision, reason, routes tried to obtain the full text, number of children with individual data) and a log of working times, instead of using Rayyan, and neither sees the other's file until both have finished. After the first 50 reports each reviewer gives the file to the adjudicator for a check of format and pace. Before formal full-text assessment both reviewers assess the same 20 reports, drawn at random with a fixed seed (20261018) and including at least three Chinese-language reports, two reviews, three series and some reports that describe torsion without stating the position of the spleen, and discuss the differences; only raw agreement is reported for these 20.</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Decision rules. </w:t>
      </w:r>
      <w:r>
        <w:rPr>
          <w:rFonts w:ascii="Times New Roman" w:cs="Times New Roman" w:eastAsia="SimSun" w:hAnsi="Times New Roman"/>
          <w:sz w:val="22"/>
          <w:szCs w:val="22"/>
        </w:rPr>
        <w:t xml:space="preserve">Each report receives one decision: Include, Exclude, or Pending IPD (a report that gives only aggregate data on children while individual data are requested). An Exclude decision carries one reason, chosen in a fixed order: published before 2000; other language; full text not obtained; not a formal article; no original patient data; non-human; not wandering spleen; adults only; aggregate data only; age not confirmed as under 18; other. Two Exclude decisions with different reasons are not a disagreement. Any other difference, including Include against Pending IPD, is settled by discussion and, failing agreement, by the adjudicator. A full text is declared unobtainable only if both reviewers have tried all routes (publisher or open-access page, library subscription, document delivery or inter-library loan, CNKI or Wanfang for Chinese reports, and contacting the corresponding author) and both have failed. A report in which the spleen is only herniated into the chest or displaced by a mass, without a diagnosis of wandering spleen or a mobile pedicle, is excluded as not wandering spleen. A report of a child with splenic pedicle torsion that does not state the position of the spleen or the state of its ligaments is included and flagged, unless the authors state that the spleen was in its normal position with intact ligaments, or give another cause. A report that describes patients only as children, without an age, is taken to concern patients younger than 18 years; a report that describes them only as adolescents is not.</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Requests for individual data. </w:t>
      </w:r>
      <w:r>
        <w:rPr>
          <w:rFonts w:ascii="Times New Roman" w:cs="Times New Roman" w:eastAsia="SimSun" w:hAnsi="Times New Roman"/>
          <w:sz w:val="22"/>
          <w:szCs w:val="22"/>
        </w:rPr>
        <w:t xml:space="preserve">Once the full-text assessment has identified the reports that give aggregate data only, the corresponding authors are emailed on the same day and again four weeks later. Four weeks after the second email, a report for which no individual data have arrived (at most eight weeks after the first email) is described narratively and is not included in the quantitative analysis. Only the items of Appendix C are requested, without names, hospital numbers, dates of birth or exact dates. Data supplied by authors are kept outside the public repository.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Reviews and reference lists. </w:t>
      </w:r>
      <w:r>
        <w:rPr>
          <w:rFonts w:ascii="Times New Roman" w:cs="Times New Roman" w:eastAsia="SimSun" w:hAnsi="Times New Roman"/>
          <w:sz w:val="22"/>
          <w:szCs w:val="22"/>
        </w:rPr>
        <w:t xml:space="preserve">Cases listed in the tables of reviews are not extracted. A limited check of reference lists will be made for the previous reviews named in Appendix A8, except Allen and Andrews 1989, which falls under the date rule: their references are matched automatically against the 2,548 screened records, and only the references that do not match are read. Reference lists of other reviews are not checked; this is a limitation.</w:t>
      </w:r>
    </w:p>
    <w:p>
      <w:pPr>
        <w:spacing w:after="120" w:line="300"/>
        <w:jc w:val="both"/>
      </w:pPr>
      <w:r>
        <w:rPr>
          <w:rFonts w:ascii="Times New Roman" w:cs="Times New Roman" w:eastAsia="SimSun" w:hAnsi="Times New Roman"/>
          <w:sz w:val="22"/>
          <w:szCs w:val="22"/>
        </w:rPr>
        <w:t xml:space="preserve">Two reviewers (Jun Shu and Hongqiang Bian) will independently extract data for every included patient with the form in Appendix C, after calibration on 10 reports. Disagreements will be settled by discussion between them and, failing agreement, by Jun Yang. Ji Wang, who does not extract data, will check the two extraction files for values out of range, unit errors and duplicate patients. Jun Shu took part in the pre-registration pilot extraction, from which the primary exposure was derived, so the extraction is not blind to the hypothesis; the pilot table will not be consulted during the formal extraction.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(2000–2014, 2015 onward; the category ‘before 2000’ of the registered plan no longer applies because reports published before 2000 are not sought, see Section 14).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 (no longer applicable from version 1.5, because reports published before 2000 are not sought; Section 14).</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20" w:before="80" w:line="300"/>
        <w:jc w:val="both"/>
      </w:pPr>
      <w:r>
        <w:rPr>
          <w:rFonts w:ascii="Times New Roman" w:cs="Times New Roman" w:eastAsia="SimSun" w:hAnsi="Times New Roman"/>
          <w:sz w:val="22"/>
          <w:szCs w:val="22"/>
        </w:rPr>
        <w:t xml:space="preserve">Additional analysis, not in the registered plan (added in version 1.5, and reported as such): omitting patients who were included on the basis of splenic pedicle torsion without a stated position of the spleen (the ‘flagged’ reports of Section 14).</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De-identified child-level data extracted from published reports will be made available, with the source report identified, as supplementary material or in a public repository according to the journal's data policy. Individual patient data supplied by report authors will be used only for the pooled analysis, will not be published at child level, and will be shared with others only with the written permission of the authors who supplied them. Data on the five children treated at our institution will be shared only within the limits of the consent given for publication. (Changed in version 1.5; the registered plan was to publish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 Update of 18 October 2026: a limited check of the reference lists of the previous reviews listed above (except Allen and Andrews 1989, see Section 14) is planned for the full-text stage; it has not been done.</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Rule-based script (tools/dedup.py; tiers: DOI, title+author+year, similar title, author+year+volume+page, title+volume+pages, Chinese title+year+journal+pages, title+year+journal+volume), 4 October 2026; 4,906 identified, 2,358 duplicates removed; EndNote duplicate finder (default criteria) flagged only known distinct publications by the same authors and bee-keeping patents; looser check done by script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p>
      <w:pPr>
        <w:spacing w:after="140" w:before="320" w:line="300"/>
        <w:jc w:val="left"/>
      </w:pPr>
      <w:r>
        <w:rPr>
          <w:rFonts w:ascii="Times New Roman" w:cs="Times New Roman" w:eastAsia="SimSun" w:hAnsi="Times New Roman"/>
          <w:b/>
          <w:bCs/>
          <w:sz w:val="26"/>
          <w:szCs w:val="26"/>
        </w:rPr>
        <w:t xml:space="preserve">Appendix D. Screening log (as run, to 18 October 2026)</w:t>
      </w:r>
    </w:p>
    <w:p>
      <w:pPr>
        <w:spacing w:after="120" w:line="300"/>
        <w:jc w:val="both"/>
      </w:pPr>
      <w:r>
        <w:rPr>
          <w:rFonts w:ascii="Times New Roman" w:cs="Times New Roman" w:eastAsia="SimSun" w:hAnsi="Times New Roman"/>
          <w:sz w:val="20"/>
          <w:szCs w:val="20"/>
        </w:rPr>
        <w:t xml:space="preserve">Counts use the first reviewer's decisions with the rule of 16 October 2026 applied (310 Exclude decisions without a reason treated as Maybe) and the second reviewer's decisions of 17 October 2026 (Section 14).</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1000"/>
        <w:gridCol w:w="3300"/>
      </w:tblGrid>
      <w:tr>
        <w:trPr>
          <w:tblHeader/>
        </w:trPr>
        <w:tc>
          <w:tcPr>
            <w:tcW w:type="dxa" w:w="4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Step</w:t>
            </w:r>
          </w:p>
        </w:tc>
        <w:tc>
          <w:tcPr>
            <w:tcW w:type="dxa" w:w="1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w:t>
            </w:r>
          </w:p>
        </w:tc>
        <w:tc>
          <w:tcPr>
            <w:tcW w:type="dxa" w:w="3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Note</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identified in six databases</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4906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Appendix B</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Duplicates removed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2358</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screened (title and abstract)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Advanced by both reviewers</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762</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Disagreements (one reviewer excluded, the other did not)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734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248 advanced, 486 excluded</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flagged by a word rule or lacking an abstract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192</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93 + 99; adjudicator advanced 42 (3 + 39)</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random sample</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60</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advanced none</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further judged after the pre-fixed rule was met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616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advanced 12</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as non-human or not a formal article, not re-judged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184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Advanced to full-text assessment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1064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762 + 248 + 42 + 12</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at title and abstract stage</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1484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Added: excluded by the adjudicator as ‘no original patient data’, advanced by the second reviewer</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27</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Assessed in full text (Section 14)</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on the full-text list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1091</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1064 + 27</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Not sought: published before 2000</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485</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Date rule (Section 14)</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Not retrieved: other language, published 2000 or later</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Listed and counted</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To be retrieved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540</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439 English, 101 Chinese; 362 with an abstract</w:t>
            </w:r>
          </w:p>
        </w:tc>
      </w:tr>
    </w:tbl>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2026-10-18T13:52:24.896Z</dcterms:created>
  <dcterms:modified xsi:type="dcterms:W3CDTF">2026-10-18T13:52:24.910Z</dcterms:modified>
</cp:coreProperties>
</file>

<file path=docProps/custom.xml><?xml version="1.0" encoding="utf-8"?>
<Properties xmlns="http://schemas.openxmlformats.org/officeDocument/2006/custom-properties" xmlns:vt="http://schemas.openxmlformats.org/officeDocument/2006/docPropsVTypes"/>
</file>