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Microsoft YaHei" w:hAnsi="Calibri"/>
        </w:rPr>
        <w:t xml:space="preserve">Time to surgery and splenic salvage in children with wandering spleen: a single-centre case series and systematic review of individual patient data</w:t>
      </w:r>
    </w:p>
    <w:p>
      <w:pPr>
        <w:spacing w:after="120"/>
      </w:pPr>
      <w:r>
        <w:rPr>
          <w:rFonts w:ascii="Calibri" w:cs="Calibri" w:eastAsia="Microsoft YaHei" w:hAnsi="Calibri"/>
          <w:b/>
          <w:bCs/>
        </w:rPr>
        <w:t xml:space="preserve">Draft v0.1, 17 October 2026. Working draft for the authors; not for submission.</w:t>
      </w:r>
    </w:p>
    <w:p>
      <w:pPr>
        <w:spacing w:after="120"/>
      </w:pPr>
      <w:r>
        <w:rPr>
          <w:rFonts w:ascii="Calibri" w:cs="Calibri" w:eastAsia="Microsoft YaHei" w:hAnsi="Calibri"/>
          <w:b/>
          <w:bCs/>
        </w:rPr>
        <w:t xml:space="preserve">How to read this draft.</w:t>
      </w:r>
      <w:r>
        <w:rPr>
          <w:rFonts w:ascii="Calibri" w:cs="Calibri" w:eastAsia="Microsoft YaHei" w:hAnsi="Calibri"/>
        </w:rPr>
        <w:t xml:space="preserve"> Text that is already supported by the registered protocol (PROSPERO CRD420261520329, version 1.4) or by the search and screening logs is written out. Everything that depends on screening decisions, full-text assessment, data extraction or analysis is marked </w:t>
      </w:r>
      <w:r>
        <w:rPr>
          <w:rFonts w:ascii="Calibri" w:cs="Calibri" w:eastAsia="Microsoft YaHei" w:hAnsi="Calibri"/>
          <w:b/>
          <w:bCs/>
        </w:rPr>
        <w:t xml:space="preserve">[PENDING: …]</w:t>
      </w:r>
      <w:r>
        <w:rPr>
          <w:rFonts w:ascii="Calibri" w:cs="Calibri" w:eastAsia="Microsoft YaHei" w:hAnsi="Calibri"/>
        </w:rPr>
        <w:t xml:space="preserve"> and contains no numbers or findings. Citations are limited to the 13 references listed in the registered protocol; their bibliographic details have not all been re-checked since and must be verified before submission. Places where the authors need to add a reference are marked </w:t>
      </w:r>
      <w:r>
        <w:rPr>
          <w:rFonts w:ascii="Calibri" w:cs="Calibri" w:eastAsia="Microsoft YaHei" w:hAnsi="Calibri"/>
          <w:b/>
          <w:bCs/>
        </w:rPr>
        <w:t xml:space="preserve">[REF]</w:t>
      </w:r>
      <w:r>
        <w:rPr>
          <w:rFonts w:ascii="Calibri" w:cs="Calibri" w:eastAsia="Microsoft YaHei" w:hAnsi="Calibri"/>
        </w:rPr>
        <w:t xml:space="preserve">. The target journal is Orphanet Journal of Rare Diseases. The general submission guidelines and the journal's pages for the Research and Review article types (three PDFs supplied by the authors on 17 October 2026) have been read, and the layout below follows them: the abstract has at most 350 words and no references, the main text runs Background, Methods, Results, Discussion, Conclusions, List of abbreviations and Declarations, and the Declarations carry the journal's seven compulsory headings. Numbers are written without thousands separators (journal rule for tables and values). Tables and figures must later be rebuilt without colour or shading, with titles of at most 15 words and legends of at most 300 words, and the submission file needs double line spacing, line numbers and page numbers. </w:t>
      </w:r>
      <w:r>
        <w:rPr>
          <w:rFonts w:ascii="Calibri" w:cs="Calibri" w:eastAsia="Microsoft YaHei" w:hAnsi="Calibri"/>
          <w:b/>
          <w:bCs/>
        </w:rPr>
        <w:t xml:space="preserve">Article type (recommendation, to be decided by the authors; the editor has the final say):</w:t>
      </w:r>
      <w:r>
        <w:rPr>
          <w:rFonts w:ascii="Calibri" w:cs="Calibri" w:eastAsia="Microsoft YaHei" w:hAnsi="Calibri"/>
        </w:rPr>
        <w:t xml:space="preserve"> Research rather than Review, because the paper is a pre-registered analysis of pooled individual patient data with its own Methods and Results, whereas the journal describes a Review as a comprehensive, authoritative description of a subject. </w:t>
      </w:r>
      <w:r>
        <w:rPr>
          <w:rFonts w:ascii="Calibri" w:cs="Calibri" w:eastAsia="Microsoft YaHei" w:hAnsi="Calibri"/>
          <w:b/>
          <w:bCs/>
        </w:rPr>
        <w:t xml:space="preserve">Not stated on the pages read:</w:t>
      </w:r>
      <w:r>
        <w:rPr>
          <w:rFonts w:ascii="Calibri" w:cs="Calibri" w:eastAsia="Microsoft YaHei" w:hAnsi="Calibri"/>
        </w:rPr>
        <w:t xml:space="preserve"> any word limit for the main text, and any limit on the number of tables and figures. The journal accepts reviews on specific rare diseases but not case reports that only present phenotype information; the paper is therefore framed as a systematic review, and the five institutional patients are one data source within it.</w:t>
      </w:r>
    </w:p>
    <w:p>
      <w:pPr>
        <w:spacing w:after="120"/>
      </w:pPr>
      <w:r>
        <w:rPr>
          <w:rFonts w:ascii="Calibri" w:cs="Calibri" w:eastAsia="Microsoft YaHei" w:hAnsi="Calibri"/>
        </w:rPr>
        <w:t xml:space="preserve">Authors (order and contributions to be confirmed): Jun Shu, Jun Yang (corresponding author), Hongqiang Bian, Fei Peng, Ji Wang.</w:t>
      </w:r>
    </w:p>
    <w:p>
      <w:pPr>
        <w:spacing w:after="120"/>
      </w:pPr>
      <w:r>
        <w:rPr>
          <w:rFonts w:ascii="Calibri" w:cs="Calibri" w:eastAsia="Microsoft YaHei" w:hAnsi="Calibri"/>
        </w:rPr>
        <w:t xml:space="preserve">Affiliation: Wuhan Children's Hospital (Wuhan Maternal and Child Healthcare Hospital), Tongji Medical College, Huazhong University of Science and Technology, Wuhan, China.</w:t>
      </w:r>
    </w:p>
    <w:p>
      <w:pPr>
        <w:pStyle w:val="Heading2"/>
        <w:keepNext/>
      </w:pPr>
      <w:r>
        <w:rPr>
          <w:rFonts w:ascii="Calibri" w:cs="Calibri" w:eastAsia="Microsoft YaHei" w:hAnsi="Calibri"/>
        </w:rPr>
        <w:t xml:space="preserve">Abstract</w:t>
      </w:r>
    </w:p>
    <w:p>
      <w:pPr>
        <w:spacing w:after="120"/>
      </w:pPr>
      <w:r>
        <w:rPr>
          <w:rFonts w:ascii="Calibri" w:cs="Calibri" w:eastAsia="Microsoft YaHei" w:hAnsi="Calibri"/>
          <w:b/>
          <w:bCs/>
        </w:rPr>
        <w:t xml:space="preserve">Background.</w:t>
      </w:r>
      <w:r>
        <w:rPr>
          <w:rFonts w:ascii="Calibri" w:cs="Calibri" w:eastAsia="Microsoft YaHei" w:hAnsi="Calibri"/>
        </w:rPr>
        <w:t xml:space="preserve"> Wandering spleen is rare in children, and torsion of the splenic pedicle can lead to infarction and loss of the spleen. Delay in diagnosis and treatment is often held responsible for splenic loss, but this has not been examined systematically. </w:t>
      </w:r>
      <w:r>
        <w:rPr>
          <w:rFonts w:ascii="Calibri" w:cs="Calibri" w:eastAsia="Microsoft YaHei" w:hAnsi="Calibri"/>
          <w:b/>
          <w:bCs/>
        </w:rPr>
        <w:t xml:space="preserve">[PENDING: final wording after the results are known.]</w:t>
      </w:r>
    </w:p>
    <w:p>
      <w:pPr>
        <w:spacing w:after="120"/>
      </w:pPr>
      <w:r>
        <w:rPr>
          <w:rFonts w:ascii="Calibri" w:cs="Calibri" w:eastAsia="Microsoft YaHei" w:hAnsi="Calibri"/>
          <w:b/>
          <w:bCs/>
        </w:rPr>
        <w:t xml:space="preserve">Methods.</w:t>
      </w:r>
      <w:r>
        <w:rPr>
          <w:rFonts w:ascii="Calibri" w:cs="Calibri" w:eastAsia="Microsoft YaHei" w:hAnsi="Calibri"/>
        </w:rPr>
        <w:t xml:space="preserve"> We registered the review protocol (PROSPERO CRD420261520329) and searched PubMed, Web of Science Core Collection, Scopus, CNKI, Wanfang Data and the China Biology Medicine database on 28 and 29 September 2026 without language or date limits. We planned to include children younger than 18 years with wandering spleen who were operated on, with individual data on age and splenic viability. The primary exposure was the duration of the index symptomatic episode before operation, and the primary outcome was a non-viable spleen at operation. We planned one-stage logistic regression on log-transformed duration with cluster-robust standard errors by report, pooling published cases with our own single-centre series. </w:t>
      </w:r>
      <w:r>
        <w:rPr>
          <w:rFonts w:ascii="Calibri" w:cs="Calibri" w:eastAsia="Microsoft YaHei" w:hAnsi="Calibri"/>
          <w:b/>
          <w:bCs/>
        </w:rPr>
        <w:t xml:space="preserve">[PENDING: study selection, extraction and analysis as finally carried out.]</w:t>
      </w:r>
    </w:p>
    <w:p>
      <w:pPr>
        <w:spacing w:after="120"/>
      </w:pPr>
      <w:r>
        <w:rPr>
          <w:rFonts w:ascii="Calibri" w:cs="Calibri" w:eastAsia="Microsoft YaHei" w:hAnsi="Calibri"/>
          <w:b/>
          <w:bCs/>
        </w:rPr>
        <w:t xml:space="preserve">Results.</w:t>
      </w:r>
      <w:r>
        <w:rPr>
          <w:rFonts w:ascii="Calibri" w:cs="Calibri" w:eastAsia="Microsoft YaHei" w:hAnsi="Calibri"/>
        </w:rPr>
        <w:t xml:space="preserve"> </w:t>
      </w:r>
      <w:r>
        <w:rPr>
          <w:rFonts w:ascii="Calibri" w:cs="Calibri" w:eastAsia="Microsoft YaHei" w:hAnsi="Calibri"/>
          <w:b/>
          <w:bCs/>
        </w:rPr>
        <w:t xml:space="preserve">[PENDING: number of reports and children, main effect estimate with 95% confidence interval, key secondary and sensitivity results.]</w:t>
      </w:r>
    </w:p>
    <w:p>
      <w:pPr>
        <w:spacing w:after="120"/>
      </w:pPr>
      <w:r>
        <w:rPr>
          <w:rFonts w:ascii="Calibri" w:cs="Calibri" w:eastAsia="Microsoft YaHei" w:hAnsi="Calibri"/>
          <w:b/>
          <w:bCs/>
        </w:rPr>
        <w:t xml:space="preserve">Conclusions.</w:t>
      </w:r>
      <w:r>
        <w:rPr>
          <w:rFonts w:ascii="Calibri" w:cs="Calibri" w:eastAsia="Microsoft YaHei" w:hAnsi="Calibri"/>
        </w:rPr>
        <w:t xml:space="preserve"> </w:t>
      </w:r>
      <w:r>
        <w:rPr>
          <w:rFonts w:ascii="Calibri" w:cs="Calibri" w:eastAsia="Microsoft YaHei" w:hAnsi="Calibri"/>
          <w:b/>
          <w:bCs/>
        </w:rPr>
        <w:t xml:space="preserve">[PENDING.]</w:t>
      </w:r>
    </w:p>
    <w:p>
      <w:pPr>
        <w:spacing w:after="120"/>
      </w:pPr>
      <w:r>
        <w:rPr>
          <w:rFonts w:ascii="Calibri" w:cs="Calibri" w:eastAsia="Microsoft YaHei" w:hAnsi="Calibri"/>
          <w:b/>
          <w:bCs/>
        </w:rPr>
        <w:t xml:space="preserve">Trial registration.</w:t>
      </w:r>
      <w:r>
        <w:rPr>
          <w:rFonts w:ascii="Calibri" w:cs="Calibri" w:eastAsia="Microsoft YaHei" w:hAnsi="Calibri"/>
        </w:rPr>
        <w:t xml:space="preserve"> PROSPERO CRD420261520329.</w:t>
      </w:r>
    </w:p>
    <w:p>
      <w:pPr>
        <w:spacing w:after="120"/>
      </w:pPr>
      <w:r>
        <w:rPr>
          <w:rFonts w:ascii="Calibri" w:cs="Calibri" w:eastAsia="Microsoft YaHei" w:hAnsi="Calibri"/>
          <w:b/>
          <w:bCs/>
        </w:rPr>
        <w:t xml:space="preserve">Keywords.</w:t>
      </w:r>
      <w:r>
        <w:rPr>
          <w:rFonts w:ascii="Calibri" w:cs="Calibri" w:eastAsia="Microsoft YaHei" w:hAnsi="Calibri"/>
        </w:rPr>
        <w:t xml:space="preserve"> wandering spleen; splenic torsion; splenopexy; splenectomy; children; time-to-treatment; individual patient data</w:t>
      </w:r>
    </w:p>
    <w:p>
      <w:pPr>
        <w:pStyle w:val="Heading2"/>
        <w:keepNext/>
      </w:pPr>
      <w:r>
        <w:rPr>
          <w:rFonts w:ascii="Calibri" w:cs="Calibri" w:eastAsia="Microsoft YaHei" w:hAnsi="Calibri"/>
        </w:rPr>
        <w:t xml:space="preserve">Background</w:t>
      </w:r>
    </w:p>
    <w:p>
      <w:pPr>
        <w:spacing w:after="120"/>
      </w:pPr>
      <w:r>
        <w:rPr>
          <w:rFonts w:ascii="Calibri" w:cs="Calibri" w:eastAsia="Microsoft YaHei" w:hAnsi="Calibri"/>
        </w:rPr>
        <w:t xml:space="preserve">Wandering spleen is a rare condition in which absent or lax suspensory ligaments allow the spleen to leave the left upper quadrant and move, with its vascular pedicle, within the abdomen or pelvis </w:t>
      </w:r>
      <w:r>
        <w:rPr>
          <w:rFonts w:ascii="Calibri" w:cs="Calibri" w:eastAsia="Microsoft YaHei" w:hAnsi="Calibri"/>
          <w:b/>
          <w:bCs/>
        </w:rPr>
        <w:t xml:space="preserve">[REF]</w:t>
      </w:r>
      <w:r>
        <w:rPr>
          <w:rFonts w:ascii="Calibri" w:cs="Calibri" w:eastAsia="Microsoft YaHei" w:hAnsi="Calibri"/>
        </w:rPr>
        <w:t xml:space="preserve">. The long pedicle can twist. Torsion may be intermittent and cause recurrent abdominal pain, or acute and cause splenic infarction, and whether the spleen can be saved depends on whether it is still viable at operation. Splenectomy in a child carries a lifelong risk of overwhelming infection </w:t>
      </w:r>
      <w:r>
        <w:rPr>
          <w:rFonts w:ascii="Calibri" w:cs="Calibri" w:eastAsia="Microsoft YaHei" w:hAnsi="Calibri"/>
          <w:b/>
          <w:bCs/>
        </w:rPr>
        <w:t xml:space="preserve">[REF]</w:t>
      </w:r>
      <w:r>
        <w:rPr>
          <w:rFonts w:ascii="Calibri" w:cs="Calibri" w:eastAsia="Microsoft YaHei" w:hAnsi="Calibri"/>
        </w:rPr>
        <w:t xml:space="preserve">, so preservation, with fixation of a viable spleen, is preferred when it is possible.</w:t>
      </w:r>
    </w:p>
    <w:p>
      <w:pPr>
        <w:spacing w:after="120"/>
      </w:pPr>
      <w:r>
        <w:rPr>
          <w:rFonts w:ascii="Calibri" w:cs="Calibri" w:eastAsia="Microsoft YaHei" w:hAnsi="Calibri"/>
        </w:rPr>
        <w:t xml:space="preserve">The published experience consists almost entirely of case reports, small series and reviews of them [1–9]. Delay in diagnosis and treatment is frequently named as a cause of splenic loss, but we are not aware of a systematic analysis of this assumption. The most recent systematic review of paediatric wandering spleen, by Ganarin and colleagues (PROSPERO CRD42018089971), pooled 197 children, 194 of them from English-language reports published between 1990 and 2018. It addressed presentation and surgical technique and did not analyse time to surgery [1].</w:t>
      </w:r>
    </w:p>
    <w:p>
      <w:pPr>
        <w:spacing w:after="120"/>
      </w:pPr>
      <w:r>
        <w:rPr>
          <w:rFonts w:ascii="Calibri" w:cs="Calibri" w:eastAsia="Microsoft YaHei" w:hAnsi="Calibri"/>
        </w:rPr>
        <w:t xml:space="preserve">In our own series of five children treated at one institution, four lost the spleen, which prompted the question of how delay relates to splenic loss. A hand-collected set of 53 published reports, used to pilot the extraction form before the protocol was registered, suggested that the relation may differ depending on whether delay is measured as the duration of the index symptomatic episode or as the total length of the symptom history. This informed the choice of the primary exposure, which was specified before the formal searches were run.</w:t>
      </w:r>
    </w:p>
    <w:p>
      <w:pPr>
        <w:spacing w:after="120"/>
      </w:pPr>
      <w:r>
        <w:rPr>
          <w:rFonts w:ascii="Calibri" w:cs="Calibri" w:eastAsia="Microsoft YaHei" w:hAnsi="Calibri"/>
        </w:rPr>
        <w:t xml:space="preserve">Our objective was to pool individual patient data from published paediatric cases, including Chinese-language reports and reports published since 2018, together with our own series, to examine whether a longer duration of the index symptomatic episode before operation is associated with a non-viable spleen at operation.</w:t>
      </w:r>
    </w:p>
    <w:p>
      <w:pPr>
        <w:pStyle w:val="Heading2"/>
        <w:keepNext/>
      </w:pPr>
      <w:r>
        <w:rPr>
          <w:rFonts w:ascii="Calibri" w:cs="Calibri" w:eastAsia="Microsoft YaHei" w:hAnsi="Calibri"/>
        </w:rPr>
        <w:t xml:space="preserve">Methods</w:t>
      </w:r>
    </w:p>
    <w:p>
      <w:pPr>
        <w:pStyle w:val="Heading3"/>
        <w:keepNext/>
      </w:pPr>
      <w:r>
        <w:rPr>
          <w:rFonts w:ascii="Calibri" w:cs="Calibri" w:eastAsia="Microsoft YaHei" w:hAnsi="Calibri"/>
        </w:rPr>
        <w:t xml:space="preserve">Protocol and registration</w:t>
      </w:r>
    </w:p>
    <w:p>
      <w:pPr>
        <w:spacing w:after="120"/>
      </w:pPr>
      <w:r>
        <w:rPr>
          <w:rFonts w:ascii="Calibri" w:cs="Calibri" w:eastAsia="Microsoft YaHei" w:hAnsi="Calibri"/>
        </w:rPr>
        <w:t xml:space="preserve">The protocol was registered in PROSPERO on 28 September 2026 (CRD420261520329). The protocol document was then revised in versions 1.1 to 1.4: version 1.1 revised the search strategies after review by a medical librarian, before any formal search was run; version 1.2 added the as-run details of the searches and the deviations listed below; versions 1.3 and 1.4 added the screening procedure and the stage of the review. Eligibility criteria, exposures, outcomes and the analysis plan were not changed in any version. </w:t>
      </w:r>
      <w:r>
        <w:rPr>
          <w:rFonts w:ascii="Calibri" w:cs="Calibri" w:eastAsia="Microsoft YaHei" w:hAnsi="Calibri"/>
          <w:b/>
          <w:bCs/>
        </w:rPr>
        <w:t xml:space="preserve">[PENDING: the PROSPERO record itself has not yet been amended; give the date of the amendment once it has been submitted.]</w:t>
      </w:r>
      <w:r>
        <w:rPr>
          <w:rFonts w:ascii="Calibri" w:cs="Calibri" w:eastAsia="Microsoft YaHei" w:hAnsi="Calibri"/>
        </w:rPr>
        <w:t xml:space="preserve"> The review is reported according to PRISMA 2020 [10], PRISMA-IPD [11] and, for the searches, PRISMA-S [12].</w:t>
      </w:r>
    </w:p>
    <w:p>
      <w:pPr>
        <w:spacing w:after="120"/>
      </w:pPr>
      <w:r>
        <w:rPr>
          <w:rFonts w:ascii="Calibri" w:cs="Calibri" w:eastAsia="Microsoft YaHei" w:hAnsi="Calibri"/>
        </w:rPr>
        <w:t xml:space="preserve">Before registration, 53 reports (47 in English and 6 in Chinese) were collected by hand and used to pilot the extraction form (76 unique paediatric patients after removal of duplicate reports). Those pilot data do not enter the analysis: all reports, including the 53 piloted, are screened and extracted afresh according to the protocol.</w:t>
      </w:r>
    </w:p>
    <w:p>
      <w:pPr>
        <w:pStyle w:val="Heading3"/>
        <w:keepNext/>
      </w:pPr>
      <w:r>
        <w:rPr>
          <w:rFonts w:ascii="Calibri" w:cs="Calibri" w:eastAsia="Microsoft YaHei" w:hAnsi="Calibri"/>
        </w:rPr>
        <w:t xml:space="preserve">Eligibility criteria</w:t>
      </w:r>
    </w:p>
    <w:p>
      <w:pPr>
        <w:spacing w:after="120"/>
      </w:pPr>
      <w:r>
        <w:rPr>
          <w:rFonts w:ascii="Calibri" w:cs="Calibri" w:eastAsia="Microsoft YaHei" w:hAnsi="Calibri"/>
        </w:rPr>
        <w:t xml:space="preserve">We included children younger than 18 years at operation (or at diagnosis, for children managed without operation) with wandering spleen confirmed by imaging or at operation, defined as an abnormally mobile spleen displaced from the left upper quadrant because of absent or lax suspensory ligaments, with or without torsion of the pedicle. Congenital and acquired forms (for example after fundoplication or nephrectomy) were both eligible, with acquired cases forming a subgroup. Individual data on age and, for the primary analysis, on splenic viability at operation had to be reported or supplied by the authors. We excluded torsion of an accessory spleen (including a wandering accessory spleen), torsion of an orthotopic spleen without ectopia, splenosis, and patients whose age was not reported individually and could not be established as under 18 years. Children managed without operation were to be summarised descriptively because they have no operative outcome.</w:t>
      </w:r>
    </w:p>
    <w:p>
      <w:pPr>
        <w:spacing w:after="120"/>
      </w:pPr>
      <w:r>
        <w:rPr>
          <w:rFonts w:ascii="Calibri" w:cs="Calibri" w:eastAsia="Microsoft YaHei" w:hAnsi="Calibri"/>
        </w:rPr>
        <w:t xml:space="preserve">Eligible designs were case reports, case series, cohort studies, letters and reviews that describe original patients, provided that individual data were reported or supplied. Our institutional series of five children (ethics approval 2025R156-E01) was pooled with the published cases. We excluded reviews without new patients (used only for reference checking), conference abstracts and editorials without patient data. Reports in English or Chinese were to be extracted; reports in other languages were to be listed and counted but not extracted.</w:t>
      </w:r>
    </w:p>
    <w:p>
      <w:pPr>
        <w:pStyle w:val="Heading3"/>
        <w:keepNext/>
      </w:pPr>
      <w:r>
        <w:rPr>
          <w:rFonts w:ascii="Calibri" w:cs="Calibri" w:eastAsia="Microsoft YaHei" w:hAnsi="Calibri"/>
        </w:rPr>
        <w:t xml:space="preserve">Information sources and search</w:t>
      </w:r>
    </w:p>
    <w:p>
      <w:pPr>
        <w:spacing w:after="120"/>
      </w:pPr>
      <w:r>
        <w:rPr>
          <w:rFonts w:ascii="Calibri" w:cs="Calibri" w:eastAsia="Microsoft YaHei" w:hAnsi="Calibri"/>
        </w:rPr>
        <w:t xml:space="preserve">We searched MEDLINE via PubMed, Web of Science Core Collection, Scopus, China National Knowledge Infrastructure (CNKI), Wanfang Data and the China Biology Medicine database (CBM, via SinoMed). Strategies combined controlled vocabulary, where it exists, with free-text synonyms for wandering spleen, splenic torsion and splenopexy, with no limits on language, date, age or study design, and were reviewed by a medical librarian before the searches were run. The searches were run by one author (JS) on 28 and 29 September 2026 (Table 1). The full strategies and the search log follow PRISMA-S [12] and are given in Additional file 1.</w:t>
      </w:r>
    </w:p>
    <w:p>
      <w:pPr>
        <w:spacing w:after="120"/>
      </w:pPr>
      <w:r>
        <w:rPr>
          <w:rFonts w:ascii="Calibri" w:cs="Calibri" w:eastAsia="Microsoft YaHei" w:hAnsi="Calibri"/>
          <w:b/>
          <w:bCs/>
        </w:rPr>
        <w:t xml:space="preserve">Table 1. Databases searched.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Database (platform)</w:t>
            </w:r>
          </w:p>
        </w:tc>
        <w:tc>
          <w:tcPr>
            <w:tcW w:type="dxa" w:w="225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Date of search</w:t>
            </w:r>
          </w:p>
        </w:tc>
        <w:tc>
          <w:tcPr>
            <w:tcW w:type="dxa" w:w="225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Coverage</w:t>
            </w:r>
          </w:p>
        </w:tc>
        <w:tc>
          <w:tcPr>
            <w:tcW w:type="dxa" w:w="2258"/>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Records</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MEDLINE (PubMed)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28 Sep 2026</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inception to date of search</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1263</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Web of Science Core Collection (institutional subscription; all licensed indexes)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29 Sep 2026</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SCI-EXPANDED 1997–, SSCI 2000–, A&amp;HCI 2005–, CPCI-S 1998–, CPCI-SSH 2001–, ESCI 2021–, CCR-EXPANDED 1985–, IC 1993–</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750</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Scopus (Documents tab)</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29 Sep 2026</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 date limit</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1563</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CNKI</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28 Sep 2026</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inception to date of search</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486</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Wanfang Data</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28 Sep 2026</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inception to date of search</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423</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CBM (SinoMed)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29 Sep 2026</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inception to date of search</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421</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Total before deduplication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4906</w:t>
            </w:r>
          </w:p>
        </w:tc>
      </w:tr>
    </w:tbl>
    <w:p>
      <w:pPr>
        <w:spacing w:after="120"/>
      </w:pPr>
    </w:p>
    <w:p>
      <w:pPr>
        <w:spacing w:after="120"/>
      </w:pPr>
      <w:r>
        <w:rPr>
          <w:rFonts w:ascii="Calibri" w:cs="Calibri" w:eastAsia="Microsoft YaHei" w:hAnsi="Calibri"/>
        </w:rPr>
        <w:t xml:space="preserve">Embase and Google Scholar were not searched and citation searching was not completed (see Deviations from the protocol). The searches should be rerun before the final analysis if more than six months have passed since 28 and 29 September 2026. </w:t>
      </w:r>
      <w:r>
        <w:rPr>
          <w:rFonts w:ascii="Calibri" w:cs="Calibri" w:eastAsia="Microsoft YaHei" w:hAnsi="Calibri"/>
          <w:b/>
          <w:bCs/>
        </w:rPr>
        <w:t xml:space="preserve">[PENDING: decide whether an update search will be run, and report its date and records.]</w:t>
      </w:r>
    </w:p>
    <w:p>
      <w:pPr>
        <w:pStyle w:val="Heading3"/>
        <w:keepNext/>
      </w:pPr>
      <w:r>
        <w:rPr>
          <w:rFonts w:ascii="Calibri" w:cs="Calibri" w:eastAsia="Microsoft YaHei" w:hAnsi="Calibri"/>
        </w:rPr>
        <w:t xml:space="preserve">Selection of reports</w:t>
      </w:r>
    </w:p>
    <w:p>
      <w:pPr>
        <w:spacing w:after="120"/>
      </w:pPr>
      <w:r>
        <w:rPr>
          <w:rFonts w:ascii="Calibri" w:cs="Calibri" w:eastAsia="Microsoft YaHei" w:hAnsi="Calibri"/>
        </w:rPr>
        <w:t xml:space="preserve">Records were deduplicated with a documented rule-based script (identical DOI; identical title with the same first author and year; similar title with the same first author; same first author, year, volume and first page; and further rules for Chinese-language records and differently written author names). EndNote's duplicate finder was then run on the result as a check, and nothing beyond known distinct publications and patents was flagged. Of 4906 records, 2358 duplicates were removed and 2548 records were screened.</w:t>
      </w:r>
    </w:p>
    <w:p>
      <w:pPr>
        <w:spacing w:after="120"/>
      </w:pPr>
      <w:r>
        <w:rPr>
          <w:rFonts w:ascii="Calibri" w:cs="Calibri" w:eastAsia="Microsoft YaHei" w:hAnsi="Calibri"/>
        </w:rPr>
        <w:t xml:space="preserve">Screening was done in Rayyan with blind mode on and author and journal details hidden. Two reviewers (JS and FP) were to screen titles and abstracts independently against the eligibility criteria, using a written screening guide that applies the criteria without changing them: when in doubt, Maybe; every Exclude carries one of six fixed reasons; records without an abstract are rated Maybe or Exclude only. Before formal screening, the reviewers screened a random calibration sample of 50 of the 2548 records and agreed on 45 of them (90.0%; Cohen's kappa 0.83); all five disagreements were among the 11 records without an abstract. Author and journal details were visible to both reviewers during part of the calibration. According to the protocol, Rayyan's artificial-intelligence functions and its automatic duplicate handling were not to be used. Disagreements in which one reviewer excluded and the other did not were to be resolved by the adjudicator (JY) from an exported list outside Rayyan.</w:t>
      </w:r>
    </w:p>
    <w:p>
      <w:pPr>
        <w:spacing w:after="120"/>
      </w:pPr>
      <w:r>
        <w:rPr>
          <w:rFonts w:ascii="Calibri" w:cs="Calibri" w:eastAsia="Microsoft YaHei" w:hAnsi="Calibri"/>
          <w:b/>
          <w:bCs/>
        </w:rPr>
        <w:t xml:space="preserve">[PENDING: this paragraph on the title and abstract stage must not be finalised yet.</w:t>
      </w:r>
      <w:r>
        <w:rPr>
          <w:rFonts w:ascii="Calibri" w:cs="Calibri" w:eastAsia="Microsoft YaHei" w:hAnsi="Calibri"/>
        </w:rPr>
        <w:t xml:space="preserve"> The decisions of the second reviewer in the formal screening were, according to the project log, entered in two ways that need an explanation before the stage can be described as two independent reviews: (1) on 10 and 11 October 2026 about 93% of the second reviewer's decisions were entered at a median of 1.9 seconds per record with bulk operations, and the second reviewer reported that an AI coding agent (Codex) was used; (2) in a repeat screening of all 2548 records on 17 October 2026 the decisions were entered at a median of 0.45 seconds per record, a speed at which reading each title and abstract at the time of entry is not possible, while the authors report that no AI was used and that the records were read as they were clicked. The first reviewer's decisions were entered at a human pace (median 9.4 seconds per record). The accurate account, the handling of these decisions and any change to the reviewer arrangement must be decided by the authors, recorded in the PROSPERO amendment, and then written here. Source: project log and </w:t>
      </w:r>
      <w:r>
        <w:rPr>
          <w:rFonts w:ascii="Consolas" w:cs="Consolas" w:eastAsia="Microsoft YaHei" w:hAnsi="Consolas"/>
          <w:sz w:val="19"/>
          <w:szCs w:val="19"/>
          <w:shd w:fill="EEEEEE" w:val="clear"/>
        </w:rPr>
        <w:t xml:space="preserve">search/screening/</w:t>
      </w:r>
      <w:r>
        <w:rPr>
          <w:rFonts w:ascii="Calibri" w:cs="Calibri" w:eastAsia="Microsoft YaHei" w:hAnsi="Calibri"/>
        </w:rPr>
        <w:t xml:space="preserve"> in the working repository.</w:t>
      </w:r>
      <w:r>
        <w:rPr>
          <w:rFonts w:ascii="Calibri" w:cs="Calibri" w:eastAsia="Microsoft YaHei" w:hAnsi="Calibri"/>
          <w:b/>
          <w:bCs/>
        </w:rPr>
        <w:t xml:space="preserve">]</w:t>
      </w:r>
    </w:p>
    <w:p>
      <w:pPr>
        <w:spacing w:after="120"/>
      </w:pPr>
      <w:r>
        <w:rPr>
          <w:rFonts w:ascii="Calibri" w:cs="Calibri" w:eastAsia="Microsoft YaHei" w:hAnsi="Calibri"/>
          <w:b/>
          <w:bCs/>
        </w:rPr>
        <w:t xml:space="preserve">[PENDING: full-text assessment: how full texts were retrieved, reasons for exclusion, reports in other languages, and the outcome of requests to authors of aggregate-only reports.]</w:t>
      </w:r>
    </w:p>
    <w:p>
      <w:pPr>
        <w:pStyle w:val="Heading3"/>
        <w:keepNext/>
      </w:pPr>
      <w:r>
        <w:rPr>
          <w:rFonts w:ascii="Calibri" w:cs="Calibri" w:eastAsia="Microsoft YaHei" w:hAnsi="Calibri"/>
        </w:rPr>
        <w:t xml:space="preserve">Data collection</w:t>
      </w:r>
    </w:p>
    <w:p>
      <w:pPr>
        <w:spacing w:after="120"/>
      </w:pPr>
      <w:r>
        <w:rPr>
          <w:rFonts w:ascii="Calibri" w:cs="Calibri" w:eastAsia="Microsoft YaHei" w:hAnsi="Calibri"/>
        </w:rPr>
        <w:t xml:space="preserve">Two reviewers were to extract data independently for every included patient with a pre-specified form (Additional file 2) after calibration on 10 reports, and agreement on the primary exposure and the primary outcome was to be reported as Cohen's kappa. Where a report described patients only in aggregate, the corresponding author was to be emailed twice, four weeks apart, to request individual data; otherwise the report would be described narratively. Duplicate reports of the same patients were identified by matching institution, study period, age, sex and clinical details, and the most complete report was used. </w:t>
      </w:r>
      <w:r>
        <w:rPr>
          <w:rFonts w:ascii="Calibri" w:cs="Calibri" w:eastAsia="Microsoft YaHei" w:hAnsi="Calibri"/>
          <w:b/>
          <w:bCs/>
        </w:rPr>
        <w:t xml:space="preserve">[PENDING: actual extraction process, calibration result, kappa, and responses to requests.]</w:t>
      </w:r>
    </w:p>
    <w:p>
      <w:pPr>
        <w:pStyle w:val="Heading3"/>
        <w:keepNext/>
      </w:pPr>
      <w:r>
        <w:rPr>
          <w:rFonts w:ascii="Calibri" w:cs="Calibri" w:eastAsia="Microsoft YaHei" w:hAnsi="Calibri"/>
        </w:rPr>
        <w:t xml:space="preserve">Variables</w:t>
      </w:r>
    </w:p>
    <w:p>
      <w:pPr>
        <w:spacing w:after="120"/>
      </w:pPr>
      <w:r>
        <w:rPr>
          <w:rFonts w:ascii="Calibri" w:cs="Calibri" w:eastAsia="Microsoft YaHei" w:hAnsi="Calibri"/>
        </w:rPr>
        <w:t xml:space="preserve">The </w:t>
      </w:r>
      <w:r>
        <w:rPr>
          <w:rFonts w:ascii="Calibri" w:cs="Calibri" w:eastAsia="Microsoft YaHei" w:hAnsi="Calibri"/>
          <w:b/>
          <w:bCs/>
        </w:rPr>
        <w:t xml:space="preserve">primary exposure</w:t>
      </w:r>
      <w:r>
        <w:rPr>
          <w:rFonts w:ascii="Calibri" w:cs="Calibri" w:eastAsia="Microsoft YaHei" w:hAnsi="Calibri"/>
        </w:rPr>
        <w:t xml:space="preserve"> was the duration of the index symptomatic episode: the time from the onset of the symptoms of the presentation that led to operation until the operation, in days. Time in hospital before operation during the same admission counted; a planned interval between discharge and a scheduled elective operation did not and was recorded separately as a waiting interval. Rules for converting reported durations are given in Additional file 2.</w:t>
      </w:r>
    </w:p>
    <w:p>
      <w:pPr>
        <w:spacing w:after="120"/>
      </w:pPr>
      <w:r>
        <w:rPr>
          <w:rFonts w:ascii="Calibri" w:cs="Calibri" w:eastAsia="Microsoft YaHei" w:hAnsi="Calibri"/>
          <w:b/>
          <w:bCs/>
        </w:rPr>
        <w:t xml:space="preserve">Secondary exposures</w:t>
      </w:r>
      <w:r>
        <w:rPr>
          <w:rFonts w:ascii="Calibri" w:cs="Calibri" w:eastAsia="Microsoft YaHei" w:hAnsi="Calibri"/>
        </w:rPr>
        <w:t xml:space="preserve"> were the total symptom history from the first symptom attributed to wandering spleen; a missed diagnosis, defined as at least one documented earlier healthcare contact at which wandering spleen was not diagnosed or an alternative diagnosis was made, including misread imaging; and a known diagnosis with deferred surgery.</w:t>
      </w:r>
    </w:p>
    <w:p>
      <w:pPr>
        <w:spacing w:after="120"/>
      </w:pPr>
      <w:r>
        <w:rPr>
          <w:rFonts w:ascii="Calibri" w:cs="Calibri" w:eastAsia="Microsoft YaHei" w:hAnsi="Calibri"/>
        </w:rPr>
        <w:t xml:space="preserve">The </w:t>
      </w:r>
      <w:r>
        <w:rPr>
          <w:rFonts w:ascii="Calibri" w:cs="Calibri" w:eastAsia="Microsoft YaHei" w:hAnsi="Calibri"/>
          <w:b/>
          <w:bCs/>
        </w:rPr>
        <w:t xml:space="preserve">primary outcome</w:t>
      </w:r>
      <w:r>
        <w:rPr>
          <w:rFonts w:ascii="Calibri" w:cs="Calibri" w:eastAsia="Microsoft YaHei" w:hAnsi="Calibri"/>
        </w:rPr>
        <w:t xml:space="preserve"> was a non-viable spleen at the index operation: total or partial splenectomy performed because of infarction, necrosis or failure to reperfuse after detorsion, as judged at operation or on histology. A viable spleen removed for another reason counted as viable for this outcome. </w:t>
      </w:r>
      <w:r>
        <w:rPr>
          <w:rFonts w:ascii="Calibri" w:cs="Calibri" w:eastAsia="Microsoft YaHei" w:hAnsi="Calibri"/>
          <w:b/>
          <w:bCs/>
        </w:rPr>
        <w:t xml:space="preserve">Additional outcomes</w:t>
      </w:r>
      <w:r>
        <w:rPr>
          <w:rFonts w:ascii="Calibri" w:cs="Calibri" w:eastAsia="Microsoft YaHei" w:hAnsi="Calibri"/>
        </w:rPr>
        <w:t xml:space="preserve"> were removal of a viable spleen at the index operation; failure after splenopexy by fixation technique; torsion while a child with a known diagnosis was awaiting surgery; splenic status and length of follow-up; preoperative platelet count and thrombocytosis (above 450 × 10⁹/L); and associated organ involvement and reported post-splenectomy complications.</w:t>
      </w:r>
    </w:p>
    <w:p>
      <w:pPr>
        <w:pStyle w:val="Heading3"/>
        <w:keepNext/>
      </w:pPr>
      <w:r>
        <w:rPr>
          <w:rFonts w:ascii="Calibri" w:cs="Calibri" w:eastAsia="Microsoft YaHei" w:hAnsi="Calibri"/>
        </w:rPr>
        <w:t xml:space="preserve">Risk of bias</w:t>
      </w:r>
    </w:p>
    <w:p>
      <w:pPr>
        <w:spacing w:after="120"/>
      </w:pPr>
      <w:r>
        <w:rPr>
          <w:rFonts w:ascii="Calibri" w:cs="Calibri" w:eastAsia="Microsoft YaHei" w:hAnsi="Calibri"/>
        </w:rPr>
        <w:t xml:space="preserve">Two reviewers were to assess each report independently with the tool of Murad and colleagues for case reports and case series [13], using the items on selection, ascertainment of exposure, ascertainment of outcome, alternative explanations, adequacy of follow-up and sufficiency of reporting, and omitting challenge–rechallenge and dose–response. No summary score was to be calculated. A report was to be judged adequate for the primary question when the exposure, outcome and reporting items were all satisfied.</w:t>
      </w:r>
    </w:p>
    <w:p>
      <w:pPr>
        <w:pStyle w:val="Heading3"/>
        <w:keepNext/>
      </w:pPr>
      <w:r>
        <w:rPr>
          <w:rFonts w:ascii="Calibri" w:cs="Calibri" w:eastAsia="Microsoft YaHei" w:hAnsi="Calibri"/>
        </w:rPr>
        <w:t xml:space="preserve">Synthesis</w:t>
      </w:r>
    </w:p>
    <w:p>
      <w:pPr>
        <w:spacing w:after="120"/>
      </w:pPr>
      <w:r>
        <w:rPr>
          <w:rFonts w:ascii="Calibri" w:cs="Calibri" w:eastAsia="Microsoft YaHei" w:hAnsi="Calibri"/>
        </w:rPr>
        <w:t xml:space="preserve">We summarised the characteristics of all included patients with counts and percentages or medians and ranges. The primary analysis was a one-stage logistic regression of a non-viable spleen on log2-transformed index-episode duration, with cluster-robust standard errors by report, adjusted for age (years) and period of publication (before 2000, 2000–2014, 2015 onward); the effect was expressed as an odds ratio per doubling of duration. Degree of torsion and infarction lie on the causal pathway and were not adjusted for. If there were at least 10 events per model degree of freedom, non-linearity was to be examined with a restricted cubic spline with three knots. Secondary analyses used four duration categories (2 days or less, 3–7, 8–30, more than 30 days) with exact 95% confidence intervals and a test for trend, the same model for total symptom history and the binary exposures, and exact confidence intervals for the proportion of children who developed torsion while awaiting surgery.</w:t>
      </w:r>
    </w:p>
    <w:p>
      <w:pPr>
        <w:spacing w:after="120"/>
      </w:pPr>
      <w:r>
        <w:rPr>
          <w:rFonts w:ascii="Calibri" w:cs="Calibri" w:eastAsia="Microsoft YaHei" w:hAnsi="Calibri"/>
        </w:rPr>
        <w:t xml:space="preserve">Missing durations were handled by complete-case analysis, a comparison of patients with and without a reported duration, and bounding analyses that assigned all missing durations first to the shortest and then to the longest category; multiple imputation was not used because duration is unlikely to be missing at random. Pre-specified subgroups were presentation with gastric volvulus or gastric outlet obstruction, congenital versus acquired wandering spleen, and an associated diaphragmatic anomaly. Pre-specified sensitivity analyses excluded our own five patients, restricted the analysis to pedicle torsion confirmed at operation, coded partial splenectomy for partial infarction as salvage, used alternative coding of intermittent or worsening episodes, restricted the analysis to reports judged adequate, excluded Chinese-language reports, excluded reports published before 2000, and used mixed-effects logistic regression with a random intercept for each report. Certainty of evidence was to be described with GRADE principles. Analyses were to be done in R </w:t>
      </w:r>
      <w:r>
        <w:rPr>
          <w:rFonts w:ascii="Calibri" w:cs="Calibri" w:eastAsia="Microsoft YaHei" w:hAnsi="Calibri"/>
          <w:b/>
          <w:bCs/>
        </w:rPr>
        <w:t xml:space="preserve">[PENDING: version]</w:t>
      </w:r>
      <w:r>
        <w:rPr>
          <w:rFonts w:ascii="Calibri" w:cs="Calibri" w:eastAsia="Microsoft YaHei" w:hAnsi="Calibri"/>
        </w:rPr>
        <w:t xml:space="preserve">, with the analysis script fixed before the final dataset was analysed.</w:t>
      </w:r>
    </w:p>
    <w:p>
      <w:pPr>
        <w:pStyle w:val="Heading3"/>
        <w:keepNext/>
      </w:pPr>
      <w:r>
        <w:rPr>
          <w:rFonts w:ascii="Calibri" w:cs="Calibri" w:eastAsia="Microsoft YaHei" w:hAnsi="Calibri"/>
        </w:rPr>
        <w:t xml:space="preserve">Institutional series</w:t>
      </w:r>
    </w:p>
    <w:p>
      <w:pPr>
        <w:spacing w:after="120"/>
      </w:pPr>
      <w:r>
        <w:rPr>
          <w:rFonts w:ascii="Calibri" w:cs="Calibri" w:eastAsia="Microsoft YaHei" w:hAnsi="Calibri"/>
        </w:rPr>
        <w:t xml:space="preserve">We retrospectively reviewed the records of all children treated surgically for wandering spleen at Wuhan Children's Hospital between 1 May 2015 and 1 May 2026. The definition of wandering spleen was that of the review. Children in whom the diagnosis was made but who never underwent splenic surgery were not included, so the series describes only children who came to operation, and this differs from the review, in which children managed without operation were to be summarised descriptively. </w:t>
      </w:r>
      <w:r>
        <w:rPr>
          <w:rFonts w:ascii="Calibri" w:cs="Calibri" w:eastAsia="Microsoft YaHei" w:hAnsi="Calibri"/>
          <w:b/>
          <w:bCs/>
        </w:rPr>
        <w:t xml:space="preserve">[PENDING: how the children were identified in the hospital records (operation register, diagnosis codes or another method) and whether any child who met these criteria was left out.]</w:t>
      </w:r>
      <w:r>
        <w:rPr>
          <w:rFonts w:ascii="Calibri" w:cs="Calibri" w:eastAsia="Microsoft YaHei" w:hAnsi="Calibri"/>
        </w:rPr>
        <w:t xml:space="preserve"> Five children were identified.</w:t>
      </w:r>
    </w:p>
    <w:p>
      <w:pPr>
        <w:spacing w:after="120"/>
      </w:pPr>
      <w:r>
        <w:rPr>
          <w:rFonts w:ascii="Calibri" w:cs="Calibri" w:eastAsia="Microsoft YaHei" w:hAnsi="Calibri"/>
        </w:rPr>
        <w:t xml:space="preserve">Demographic characteristics, presenting symptoms and their duration, physical findings, laboratory results (platelet count at every encounter), imaging findings, operative details and the postoperative course were taken from the medical records. Each hospital encounter was recorded separately, so that the interval between the first presentation and splenic surgery could be determined. Follow-up was by outpatient review and telephone interview, with abdominal ultrasonography or contrast-enhanced CT after operation to assess the position and perfusion of the spleen. For the pooled analysis the five children were coded with the same variables and conversion rules as the published cases (Additional file 2) and entered as one report. </w:t>
      </w:r>
      <w:r>
        <w:rPr>
          <w:rFonts w:ascii="Calibri" w:cs="Calibri" w:eastAsia="Microsoft YaHei" w:hAnsi="Calibri"/>
          <w:b/>
          <w:bCs/>
        </w:rPr>
        <w:t xml:space="preserve">[PENDING: who coded the children, whether a second author checked the coding against the records, and whether the five children are one cluster in the cluster-robust analysis (to be confirmed with the statistician).]</w:t>
      </w:r>
    </w:p>
    <w:p>
      <w:pPr>
        <w:spacing w:after="120"/>
      </w:pPr>
      <w:r>
        <w:rPr>
          <w:rFonts w:ascii="Calibri" w:cs="Calibri" w:eastAsia="Microsoft YaHei" w:hAnsi="Calibri"/>
        </w:rPr>
        <w:t xml:space="preserve">The study was approved by the ethics committee of Wuhan Children's Hospital (2025R156-E01), and the approval was supplemented to cover the fifth patient. Because the data were collected retrospectively and no identifiable information is reported, the committee waived the requirement for individual informed consent to the review of the records. </w:t>
      </w:r>
      <w:r>
        <w:rPr>
          <w:rFonts w:ascii="Calibri" w:cs="Calibri" w:eastAsia="Microsoft YaHei" w:hAnsi="Calibri"/>
          <w:b/>
          <w:bCs/>
        </w:rPr>
        <w:t xml:space="preserve">[PENDING: confirm written consent for publication of clinical details and images from the parents of all five children, and whether the supplementary approval carries its own number.]</w:t>
      </w:r>
    </w:p>
    <w:p>
      <w:pPr>
        <w:pStyle w:val="Heading3"/>
        <w:keepNext/>
      </w:pPr>
      <w:r>
        <w:rPr>
          <w:rFonts w:ascii="Calibri" w:cs="Calibri" w:eastAsia="Microsoft YaHei" w:hAnsi="Calibri"/>
        </w:rPr>
        <w:t xml:space="preserve">Deviations from the protocol</w:t>
      </w:r>
    </w:p>
    <w:p>
      <w:pPr>
        <w:pStyle w:val="ListParagraph"/>
        <w:numPr>
          <w:ilvl w:val="0"/>
          <w:numId w:val="2"/>
        </w:numPr>
        <w:spacing w:after="60"/>
      </w:pPr>
      <w:r>
        <w:rPr>
          <w:rFonts w:ascii="Calibri" w:cs="Calibri" w:eastAsia="Microsoft YaHei" w:hAnsi="Calibri"/>
        </w:rPr>
        <w:t xml:space="preserve">Embase was not searched, because access was lost after the Emtree check on 29 September 2026 and could not be restored.</w:t>
      </w:r>
    </w:p>
    <w:p>
      <w:pPr>
        <w:pStyle w:val="ListParagraph"/>
        <w:numPr>
          <w:ilvl w:val="0"/>
          <w:numId w:val="2"/>
        </w:numPr>
        <w:spacing w:after="60"/>
      </w:pPr>
      <w:r>
        <w:rPr>
          <w:rFonts w:ascii="Calibri" w:cs="Calibri" w:eastAsia="Microsoft YaHei" w:hAnsi="Calibri"/>
        </w:rPr>
        <w:t xml:space="preserve">Google Scholar was not searched, because Google blocked the search as unusual traffic.</w:t>
      </w:r>
    </w:p>
    <w:p>
      <w:pPr>
        <w:pStyle w:val="ListParagraph"/>
        <w:numPr>
          <w:ilvl w:val="0"/>
          <w:numId w:val="2"/>
        </w:numPr>
        <w:spacing w:after="60"/>
      </w:pPr>
      <w:r>
        <w:rPr>
          <w:rFonts w:ascii="Calibri" w:cs="Calibri" w:eastAsia="Microsoft YaHei" w:hAnsi="Calibri"/>
        </w:rPr>
        <w:t xml:space="preserve">Citation searching was not completed: the lists of reports citing Ganarin and colleagues in Web of Science and Scopus were viewed (13 documents each) but not exported or screened, and the reference lists of earlier reviews were not checked. </w:t>
      </w:r>
      <w:r>
        <w:rPr>
          <w:rFonts w:ascii="Calibri" w:cs="Calibri" w:eastAsia="Microsoft YaHei" w:hAnsi="Calibri"/>
          <w:b/>
          <w:bCs/>
        </w:rPr>
        <w:t xml:space="preserve">[PENDING: whether the reference lists of included reports were checked.]</w:t>
      </w:r>
    </w:p>
    <w:p>
      <w:pPr>
        <w:pStyle w:val="ListParagraph"/>
        <w:numPr>
          <w:ilvl w:val="0"/>
          <w:numId w:val="2"/>
        </w:numPr>
        <w:spacing w:after="60"/>
      </w:pPr>
      <w:r>
        <w:rPr>
          <w:rFonts w:ascii="Calibri" w:cs="Calibri" w:eastAsia="Microsoft YaHei" w:hAnsi="Calibri"/>
          <w:b/>
          <w:bCs/>
        </w:rPr>
        <w:t xml:space="preserve">[PENDING: any deviation in the screening procedure, see the note under Selection of reports.]</w:t>
      </w:r>
    </w:p>
    <w:p>
      <w:pPr>
        <w:pStyle w:val="Heading3"/>
        <w:keepNext/>
      </w:pPr>
      <w:r>
        <w:rPr>
          <w:rFonts w:ascii="Calibri" w:cs="Calibri" w:eastAsia="Microsoft YaHei" w:hAnsi="Calibri"/>
        </w:rPr>
        <w:t xml:space="preserve">Use of artificial intelligence tools</w:t>
      </w:r>
    </w:p>
    <w:p>
      <w:pPr>
        <w:spacing w:after="120"/>
      </w:pPr>
      <w:r>
        <w:rPr>
          <w:rFonts w:ascii="Calibri" w:cs="Calibri" w:eastAsia="Microsoft YaHei" w:hAnsi="Calibri"/>
          <w:b/>
          <w:bCs/>
        </w:rPr>
        <w:t xml:space="preserve">[PENDING: the journal requires that any use of a large language model be documented in the Methods. The authors must state which tools were used, for what, and by whom. Facts recorded in the project log that the statement has to cover: (1) in the first round of title and abstract screening on 10 and 11 October 2026, the second reviewer's account made most of its decisions with an AI coding agent (Codex), contrary to the written screening guide; those decisions were kept as a separate dataset and not used; (2) Claude Code (Anthropic) was used to write and run the scripts for deduplication, screening comparison and process checks, to prepare the extraction workbook and the screening guides, and to draft this manuscript from the protocol and the project logs. Whether and how the authors checked the AI-assisted work, and the wording of the statement, are for the authors to decide.]</w:t>
      </w:r>
    </w:p>
    <w:p>
      <w:pPr>
        <w:pStyle w:val="Heading2"/>
        <w:keepNext/>
      </w:pPr>
      <w:r>
        <w:rPr>
          <w:rFonts w:ascii="Calibri" w:cs="Calibri" w:eastAsia="Microsoft YaHei" w:hAnsi="Calibri"/>
        </w:rPr>
        <w:t xml:space="preserve">Results</w:t>
      </w:r>
    </w:p>
    <w:p>
      <w:pPr>
        <w:spacing w:after="120"/>
      </w:pPr>
      <w:r>
        <w:rPr>
          <w:rFonts w:ascii="Calibri" w:cs="Calibri" w:eastAsia="Microsoft YaHei" w:hAnsi="Calibri"/>
          <w:b/>
          <w:bCs/>
        </w:rPr>
        <w:t xml:space="preserve">[PENDING: most of this section needs the screening, full-text assessment, extraction and analysis. Where the text below contains a bracketed field such as [n], no result exists yet and nothing may be filled in until the analysis script is fixed and the dataset is locked. The sentences are worded neutrally on purpose: the primary result is reported as it is, whatever its direction, including a null or non-linear result.]</w:t>
      </w:r>
    </w:p>
    <w:p>
      <w:pPr>
        <w:pStyle w:val="Heading3"/>
        <w:keepNext/>
      </w:pPr>
      <w:r>
        <w:rPr>
          <w:rFonts w:ascii="Calibri" w:cs="Calibri" w:eastAsia="Microsoft YaHei" w:hAnsi="Calibri"/>
        </w:rPr>
        <w:t xml:space="preserve">Study selection</w:t>
      </w:r>
    </w:p>
    <w:p>
      <w:pPr>
        <w:spacing w:after="120"/>
      </w:pPr>
      <w:r>
        <w:rPr>
          <w:rFonts w:ascii="Calibri" w:cs="Calibri" w:eastAsia="Microsoft YaHei" w:hAnsi="Calibri"/>
        </w:rPr>
        <w:t xml:space="preserve">The searches identified 4906 records in six databases (Table 1), and 2358 duplicates were removed, which left 2548 records for screening. Each database contributed records that were found in no other database: 163 from PubMed, 80 from Web of Science, 353 from Scopus, 139 from CNKI, 102 from Wanfang Data and 121 from CBM. In all, 958 records were found in one database only, 852 in two, 727 in three, 10 in four and 1 in five. By the language recorded in the databases, 1446 records were in English, 727 in Chinese and 375 in other languages (8 of them undetermined).</w:t>
      </w:r>
    </w:p>
    <w:p>
      <w:pPr>
        <w:spacing w:after="120"/>
      </w:pPr>
      <w:r>
        <w:rPr>
          <w:rFonts w:ascii="Calibri" w:cs="Calibri" w:eastAsia="Microsoft YaHei" w:hAnsi="Calibri"/>
          <w:b/>
          <w:bCs/>
        </w:rPr>
        <w:t xml:space="preserve">[PENDING: title and abstract screening: records excluded and records advanced, with the as-run process described under Selection of reports. Full texts: [n] sought, [n] not retrieved, [n] assessed. [n] reports excluded, with the reasons and the number for each (language not extracted, no full text, aggregate data only, age not confirmed under 18 years, not wandering spleen, no original patient data, other). [n] reports describing [n] children included from the literature, plus the five children of the institutional series. [n] reports in other languages listed and counted, not extracted. [n] requests for individual data sent, [n] answered, [n] reports with data supplied. Figure 1: PRISMA 2020 flow diagram, drawn as a vector graphic.]</w:t>
      </w:r>
    </w:p>
    <w:p>
      <w:pPr>
        <w:pStyle w:val="Heading3"/>
        <w:keepNext/>
      </w:pPr>
      <w:r>
        <w:rPr>
          <w:rFonts w:ascii="Calibri" w:cs="Calibri" w:eastAsia="Microsoft YaHei" w:hAnsi="Calibri"/>
        </w:rPr>
        <w:t xml:space="preserve">Characteristics of the included reports and patients</w:t>
      </w:r>
    </w:p>
    <w:p>
      <w:pPr>
        <w:spacing w:after="120"/>
      </w:pPr>
      <w:r>
        <w:rPr>
          <w:rFonts w:ascii="Calibri" w:cs="Calibri" w:eastAsia="Microsoft YaHei" w:hAnsi="Calibri"/>
          <w:b/>
          <w:bCs/>
        </w:rPr>
        <w:t xml:space="preserve">[PENDING: the paragraph below is a template.]</w:t>
      </w:r>
      <w:r>
        <w:rPr>
          <w:rFonts w:ascii="Calibri" w:cs="Calibri" w:eastAsia="Microsoft YaHei" w:hAnsi="Calibri"/>
        </w:rPr>
        <w:t xml:space="preserve"> The </w:t>
      </w:r>
      <w:r>
        <w:rPr>
          <w:rFonts w:ascii="Calibri" w:cs="Calibri" w:eastAsia="Microsoft YaHei" w:hAnsi="Calibri"/>
          <w:b/>
          <w:bCs/>
        </w:rPr>
        <w:t xml:space="preserve">[n]</w:t>
      </w:r>
      <w:r>
        <w:rPr>
          <w:rFonts w:ascii="Calibri" w:cs="Calibri" w:eastAsia="Microsoft YaHei" w:hAnsi="Calibri"/>
        </w:rPr>
        <w:t xml:space="preserve"> included reports were published between </w:t>
      </w:r>
      <w:r>
        <w:rPr>
          <w:rFonts w:ascii="Calibri" w:cs="Calibri" w:eastAsia="Microsoft YaHei" w:hAnsi="Calibri"/>
          <w:b/>
          <w:bCs/>
        </w:rPr>
        <w:t xml:space="preserve">[year]</w:t>
      </w:r>
      <w:r>
        <w:rPr>
          <w:rFonts w:ascii="Calibri" w:cs="Calibri" w:eastAsia="Microsoft YaHei" w:hAnsi="Calibri"/>
        </w:rPr>
        <w:t xml:space="preserve"> and </w:t>
      </w:r>
      <w:r>
        <w:rPr>
          <w:rFonts w:ascii="Calibri" w:cs="Calibri" w:eastAsia="Microsoft YaHei" w:hAnsi="Calibri"/>
          <w:b/>
          <w:bCs/>
        </w:rPr>
        <w:t xml:space="preserve">[year]</w:t>
      </w:r>
      <w:r>
        <w:rPr>
          <w:rFonts w:ascii="Calibri" w:cs="Calibri" w:eastAsia="Microsoft YaHei" w:hAnsi="Calibri"/>
        </w:rPr>
        <w:t xml:space="preserve">; </w:t>
      </w:r>
      <w:r>
        <w:rPr>
          <w:rFonts w:ascii="Calibri" w:cs="Calibri" w:eastAsia="Microsoft YaHei" w:hAnsi="Calibri"/>
          <w:b/>
          <w:bCs/>
        </w:rPr>
        <w:t xml:space="preserve">[n]</w:t>
      </w:r>
      <w:r>
        <w:rPr>
          <w:rFonts w:ascii="Calibri" w:cs="Calibri" w:eastAsia="Microsoft YaHei" w:hAnsi="Calibri"/>
        </w:rPr>
        <w:t xml:space="preserve"> were in English and </w:t>
      </w:r>
      <w:r>
        <w:rPr>
          <w:rFonts w:ascii="Calibri" w:cs="Calibri" w:eastAsia="Microsoft YaHei" w:hAnsi="Calibri"/>
          <w:b/>
          <w:bCs/>
        </w:rPr>
        <w:t xml:space="preserve">[n]</w:t>
      </w:r>
      <w:r>
        <w:rPr>
          <w:rFonts w:ascii="Calibri" w:cs="Calibri" w:eastAsia="Microsoft YaHei" w:hAnsi="Calibri"/>
        </w:rPr>
        <w:t xml:space="preserve"> in Chinese. They comprised </w:t>
      </w:r>
      <w:r>
        <w:rPr>
          <w:rFonts w:ascii="Calibri" w:cs="Calibri" w:eastAsia="Microsoft YaHei" w:hAnsi="Calibri"/>
          <w:b/>
          <w:bCs/>
        </w:rPr>
        <w:t xml:space="preserve">[n]</w:t>
      </w:r>
      <w:r>
        <w:rPr>
          <w:rFonts w:ascii="Calibri" w:cs="Calibri" w:eastAsia="Microsoft YaHei" w:hAnsi="Calibri"/>
        </w:rPr>
        <w:t xml:space="preserve"> case reports, </w:t>
      </w:r>
      <w:r>
        <w:rPr>
          <w:rFonts w:ascii="Calibri" w:cs="Calibri" w:eastAsia="Microsoft YaHei" w:hAnsi="Calibri"/>
          <w:b/>
          <w:bCs/>
        </w:rPr>
        <w:t xml:space="preserve">[n]</w:t>
      </w:r>
      <w:r>
        <w:rPr>
          <w:rFonts w:ascii="Calibri" w:cs="Calibri" w:eastAsia="Microsoft YaHei" w:hAnsi="Calibri"/>
        </w:rPr>
        <w:t xml:space="preserve"> case series, </w:t>
      </w:r>
      <w:r>
        <w:rPr>
          <w:rFonts w:ascii="Calibri" w:cs="Calibri" w:eastAsia="Microsoft YaHei" w:hAnsi="Calibri"/>
          <w:b/>
          <w:bCs/>
        </w:rPr>
        <w:t xml:space="preserve">[n]</w:t>
      </w:r>
      <w:r>
        <w:rPr>
          <w:rFonts w:ascii="Calibri" w:cs="Calibri" w:eastAsia="Microsoft YaHei" w:hAnsi="Calibri"/>
        </w:rPr>
        <w:t xml:space="preserve"> cohort studies and </w:t>
      </w:r>
      <w:r>
        <w:rPr>
          <w:rFonts w:ascii="Calibri" w:cs="Calibri" w:eastAsia="Microsoft YaHei" w:hAnsi="Calibri"/>
          <w:b/>
          <w:bCs/>
        </w:rPr>
        <w:t xml:space="preserve">[n]</w:t>
      </w:r>
      <w:r>
        <w:rPr>
          <w:rFonts w:ascii="Calibri" w:cs="Calibri" w:eastAsia="Microsoft YaHei" w:hAnsi="Calibri"/>
        </w:rPr>
        <w:t xml:space="preserve"> letters, and </w:t>
      </w:r>
      <w:r>
        <w:rPr>
          <w:rFonts w:ascii="Calibri" w:cs="Calibri" w:eastAsia="Microsoft YaHei" w:hAnsi="Calibri"/>
          <w:b/>
          <w:bCs/>
        </w:rPr>
        <w:t xml:space="preserve">[n]</w:t>
      </w:r>
      <w:r>
        <w:rPr>
          <w:rFonts w:ascii="Calibri" w:cs="Calibri" w:eastAsia="Microsoft YaHei" w:hAnsi="Calibri"/>
        </w:rPr>
        <w:t xml:space="preserve"> supplied individual data on request (Table 2). Together with the institutional series they described </w:t>
      </w:r>
      <w:r>
        <w:rPr>
          <w:rFonts w:ascii="Calibri" w:cs="Calibri" w:eastAsia="Microsoft YaHei" w:hAnsi="Calibri"/>
          <w:b/>
          <w:bCs/>
        </w:rPr>
        <w:t xml:space="preserve">[n]</w:t>
      </w:r>
      <w:r>
        <w:rPr>
          <w:rFonts w:ascii="Calibri" w:cs="Calibri" w:eastAsia="Microsoft YaHei" w:hAnsi="Calibri"/>
        </w:rPr>
        <w:t xml:space="preserve"> children, after the removal of </w:t>
      </w:r>
      <w:r>
        <w:rPr>
          <w:rFonts w:ascii="Calibri" w:cs="Calibri" w:eastAsia="Microsoft YaHei" w:hAnsi="Calibri"/>
          <w:b/>
          <w:bCs/>
        </w:rPr>
        <w:t xml:space="preserve">[n]</w:t>
      </w:r>
      <w:r>
        <w:rPr>
          <w:rFonts w:ascii="Calibri" w:cs="Calibri" w:eastAsia="Microsoft YaHei" w:hAnsi="Calibri"/>
        </w:rPr>
        <w:t xml:space="preserve"> duplicate reports of the same patients. </w:t>
      </w:r>
      <w:r>
        <w:rPr>
          <w:rFonts w:ascii="Calibri" w:cs="Calibri" w:eastAsia="Microsoft YaHei" w:hAnsi="Calibri"/>
          <w:b/>
          <w:bCs/>
        </w:rPr>
        <w:t xml:space="preserve">[n]</w:t>
      </w:r>
      <w:r>
        <w:rPr>
          <w:rFonts w:ascii="Calibri" w:cs="Calibri" w:eastAsia="Microsoft YaHei" w:hAnsi="Calibri"/>
        </w:rPr>
        <w:t xml:space="preserve"> (</w:t>
      </w:r>
      <w:r>
        <w:rPr>
          <w:rFonts w:ascii="Calibri" w:cs="Calibri" w:eastAsia="Microsoft YaHei" w:hAnsi="Calibri"/>
          <w:b/>
          <w:bCs/>
        </w:rPr>
        <w:t xml:space="preserve">[%]</w:t>
      </w:r>
      <w:r>
        <w:rPr>
          <w:rFonts w:ascii="Calibri" w:cs="Calibri" w:eastAsia="Microsoft YaHei" w:hAnsi="Calibri"/>
        </w:rPr>
        <w:t xml:space="preserve">) were girls, and the median age at operation was </w:t>
      </w:r>
      <w:r>
        <w:rPr>
          <w:rFonts w:ascii="Calibri" w:cs="Calibri" w:eastAsia="Microsoft YaHei" w:hAnsi="Calibri"/>
          <w:b/>
          <w:bCs/>
        </w:rPr>
        <w:t xml:space="preserve">[x]</w:t>
      </w:r>
      <w:r>
        <w:rPr>
          <w:rFonts w:ascii="Calibri" w:cs="Calibri" w:eastAsia="Microsoft YaHei" w:hAnsi="Calibri"/>
        </w:rPr>
        <w:t xml:space="preserve"> years (range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 The presenting symptom was </w:t>
      </w:r>
      <w:r>
        <w:rPr>
          <w:rFonts w:ascii="Calibri" w:cs="Calibri" w:eastAsia="Microsoft YaHei" w:hAnsi="Calibri"/>
          <w:b/>
          <w:bCs/>
        </w:rPr>
        <w:t xml:space="preserve">[...]</w:t>
      </w:r>
      <w:r>
        <w:rPr>
          <w:rFonts w:ascii="Calibri" w:cs="Calibri" w:eastAsia="Microsoft YaHei" w:hAnsi="Calibri"/>
        </w:rPr>
        <w:t xml:space="preserve"> in </w:t>
      </w:r>
      <w:r>
        <w:rPr>
          <w:rFonts w:ascii="Calibri" w:cs="Calibri" w:eastAsia="Microsoft YaHei" w:hAnsi="Calibri"/>
          <w:b/>
          <w:bCs/>
        </w:rPr>
        <w:t xml:space="preserve">[n]</w:t>
      </w:r>
      <w:r>
        <w:rPr>
          <w:rFonts w:ascii="Calibri" w:cs="Calibri" w:eastAsia="Microsoft YaHei" w:hAnsi="Calibri"/>
        </w:rPr>
        <w:t xml:space="preserve"> children. Wandering spleen was found with gastric volvulus or gastric outlet obstruction in </w:t>
      </w:r>
      <w:r>
        <w:rPr>
          <w:rFonts w:ascii="Calibri" w:cs="Calibri" w:eastAsia="Microsoft YaHei" w:hAnsi="Calibri"/>
          <w:b/>
          <w:bCs/>
        </w:rPr>
        <w:t xml:space="preserve">[n]</w:t>
      </w:r>
      <w:r>
        <w:rPr>
          <w:rFonts w:ascii="Calibri" w:cs="Calibri" w:eastAsia="Microsoft YaHei" w:hAnsi="Calibri"/>
        </w:rPr>
        <w:t xml:space="preserve">, with an associated diaphragmatic anomaly in </w:t>
      </w:r>
      <w:r>
        <w:rPr>
          <w:rFonts w:ascii="Calibri" w:cs="Calibri" w:eastAsia="Microsoft YaHei" w:hAnsi="Calibri"/>
          <w:b/>
          <w:bCs/>
        </w:rPr>
        <w:t xml:space="preserve">[n]</w:t>
      </w:r>
      <w:r>
        <w:rPr>
          <w:rFonts w:ascii="Calibri" w:cs="Calibri" w:eastAsia="Microsoft YaHei" w:hAnsi="Calibri"/>
        </w:rPr>
        <w:t xml:space="preserve"> and after a previous operation (acquired form) in </w:t>
      </w:r>
      <w:r>
        <w:rPr>
          <w:rFonts w:ascii="Calibri" w:cs="Calibri" w:eastAsia="Microsoft YaHei" w:hAnsi="Calibri"/>
          <w:b/>
          <w:bCs/>
        </w:rPr>
        <w:t xml:space="preserve">[n]</w:t>
      </w:r>
      <w:r>
        <w:rPr>
          <w:rFonts w:ascii="Calibri" w:cs="Calibri" w:eastAsia="Microsoft YaHei" w:hAnsi="Calibri"/>
        </w:rPr>
        <w:t xml:space="preserve">. Torsion of the pedicle was found at operation in </w:t>
      </w:r>
      <w:r>
        <w:rPr>
          <w:rFonts w:ascii="Calibri" w:cs="Calibri" w:eastAsia="Microsoft YaHei" w:hAnsi="Calibri"/>
          <w:b/>
          <w:bCs/>
        </w:rPr>
        <w:t xml:space="preserve">[n]</w:t>
      </w:r>
      <w:r>
        <w:rPr>
          <w:rFonts w:ascii="Calibri" w:cs="Calibri" w:eastAsia="Microsoft YaHei" w:hAnsi="Calibri"/>
        </w:rPr>
        <w:t xml:space="preserve">. The operation was total splenectomy in </w:t>
      </w:r>
      <w:r>
        <w:rPr>
          <w:rFonts w:ascii="Calibri" w:cs="Calibri" w:eastAsia="Microsoft YaHei" w:hAnsi="Calibri"/>
          <w:b/>
          <w:bCs/>
        </w:rPr>
        <w:t xml:space="preserve">[n]</w:t>
      </w:r>
      <w:r>
        <w:rPr>
          <w:rFonts w:ascii="Calibri" w:cs="Calibri" w:eastAsia="Microsoft YaHei" w:hAnsi="Calibri"/>
        </w:rPr>
        <w:t xml:space="preserve">, partial splenectomy in </w:t>
      </w:r>
      <w:r>
        <w:rPr>
          <w:rFonts w:ascii="Calibri" w:cs="Calibri" w:eastAsia="Microsoft YaHei" w:hAnsi="Calibri"/>
          <w:b/>
          <w:bCs/>
        </w:rPr>
        <w:t xml:space="preserve">[n]</w:t>
      </w:r>
      <w:r>
        <w:rPr>
          <w:rFonts w:ascii="Calibri" w:cs="Calibri" w:eastAsia="Microsoft YaHei" w:hAnsi="Calibri"/>
        </w:rPr>
        <w:t xml:space="preserve"> and splenopexy in </w:t>
      </w:r>
      <w:r>
        <w:rPr>
          <w:rFonts w:ascii="Calibri" w:cs="Calibri" w:eastAsia="Microsoft YaHei" w:hAnsi="Calibri"/>
          <w:b/>
          <w:bCs/>
        </w:rPr>
        <w:t xml:space="preserve">[n]</w:t>
      </w:r>
      <w:r>
        <w:rPr>
          <w:rFonts w:ascii="Calibri" w:cs="Calibri" w:eastAsia="Microsoft YaHei" w:hAnsi="Calibri"/>
        </w:rPr>
        <w:t xml:space="preserve">, by mesh, pouch, suture or another technique (Table 3). Follow-up was reported for </w:t>
      </w:r>
      <w:r>
        <w:rPr>
          <w:rFonts w:ascii="Calibri" w:cs="Calibri" w:eastAsia="Microsoft YaHei" w:hAnsi="Calibri"/>
          <w:b/>
          <w:bCs/>
        </w:rPr>
        <w:t xml:space="preserve">[n]</w:t>
      </w:r>
      <w:r>
        <w:rPr>
          <w:rFonts w:ascii="Calibri" w:cs="Calibri" w:eastAsia="Microsoft YaHei" w:hAnsi="Calibri"/>
        </w:rPr>
        <w:t xml:space="preserve"> children, with a median of </w:t>
      </w:r>
      <w:r>
        <w:rPr>
          <w:rFonts w:ascii="Calibri" w:cs="Calibri" w:eastAsia="Microsoft YaHei" w:hAnsi="Calibri"/>
          <w:b/>
          <w:bCs/>
        </w:rPr>
        <w:t xml:space="preserve">[x]</w:t>
      </w:r>
      <w:r>
        <w:rPr>
          <w:rFonts w:ascii="Calibri" w:cs="Calibri" w:eastAsia="Microsoft YaHei" w:hAnsi="Calibri"/>
        </w:rPr>
        <w:t xml:space="preserve"> months (range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w:t>
      </w:r>
    </w:p>
    <w:p>
      <w:pPr>
        <w:spacing w:after="120"/>
      </w:pPr>
      <w:r>
        <w:rPr>
          <w:rFonts w:ascii="Calibri" w:cs="Calibri" w:eastAsia="Microsoft YaHei" w:hAnsi="Calibri"/>
          <w:b/>
          <w:bCs/>
        </w:rPr>
        <w:t xml:space="preserve">Table 2. Included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Characteristic</w:t>
            </w:r>
          </w:p>
        </w:tc>
        <w:tc>
          <w:tcPr>
            <w:tcW w:type="dxa" w:w="4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Reports, n (%)</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Language: English</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Language: Chinese</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Year of publication: before 2000</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Year of publication: 2000 to 2014</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Year of publication: 2015 onward</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Design: case report</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Design: case series</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Design: cohort study</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Design: letter</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Individual data: published</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Individual data: supplied by the authors</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bl>
    <w:p>
      <w:pPr>
        <w:spacing w:after="120"/>
      </w:pPr>
    </w:p>
    <w:p>
      <w:pPr>
        <w:spacing w:after="120"/>
      </w:pPr>
      <w:r>
        <w:rPr>
          <w:rFonts w:ascii="Calibri" w:cs="Calibri" w:eastAsia="Microsoft YaHei" w:hAnsi="Calibri"/>
        </w:rPr>
        <w:t xml:space="preserve">Footnote. Percentages are of all included reports. The institutional series is not counted among the reports.</w:t>
      </w:r>
    </w:p>
    <w:p>
      <w:pPr>
        <w:spacing w:after="120"/>
      </w:pPr>
      <w:r>
        <w:rPr>
          <w:rFonts w:ascii="Calibri" w:cs="Calibri" w:eastAsia="Microsoft YaHei" w:hAnsi="Calibri"/>
          <w:b/>
          <w:bCs/>
        </w:rPr>
        <w:t xml:space="preserve">Table 3. Characteristics of the children.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Characteristic</w:t>
            </w:r>
          </w:p>
        </w:tc>
        <w:tc>
          <w:tcPr>
            <w:tcW w:type="dxa" w:w="472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Children, n (%) or median (range)</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Age at operation, years</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Girls</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Presenting symptom: acute abdominal pain</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Presenting symptom: recurrent abdominal pain</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Presenting symptom: abdominal mass</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Presenting symptom: no symptoms</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Gastric volvulus or gastric outlet obstruction</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Pancreatic tail involved</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Diaphragmatic anomaly</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Acquired form</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Pedicle torsion at operation</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Spleen at operation: viable</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Spleen at operation: partly non-viable</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Spleen at operation: non-viable</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Operation: total splenectomy</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Operation: partial splenectomy</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Operation: splenopexy</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Operation: detorsion only</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r>
      <w:tr>
        <w:trPr>
          <w:cantSplit/>
          <w:tblHeader w:val="false"/>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Follow-up, months</w:t>
            </w:r>
          </w:p>
        </w:tc>
        <w:tc>
          <w:tcPr>
            <w:tcW w:type="dxa" w:w="4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w:t>
            </w:r>
          </w:p>
        </w:tc>
      </w:tr>
    </w:tbl>
    <w:p>
      <w:pPr>
        <w:spacing w:after="120"/>
      </w:pPr>
    </w:p>
    <w:p>
      <w:pPr>
        <w:spacing w:after="120"/>
      </w:pPr>
      <w:r>
        <w:rPr>
          <w:rFonts w:ascii="Calibri" w:cs="Calibri" w:eastAsia="Microsoft YaHei" w:hAnsi="Calibri"/>
        </w:rPr>
        <w:t xml:space="preserve">Footnote. Includes the five children of the institutional series. Presenting symptoms and associated conditions are not mutually exclusive.</w:t>
      </w:r>
    </w:p>
    <w:p>
      <w:pPr>
        <w:pStyle w:val="Heading3"/>
        <w:keepNext/>
      </w:pPr>
      <w:r>
        <w:rPr>
          <w:rFonts w:ascii="Calibri" w:cs="Calibri" w:eastAsia="Microsoft YaHei" w:hAnsi="Calibri"/>
        </w:rPr>
        <w:t xml:space="preserve">Institutional series</w:t>
      </w:r>
    </w:p>
    <w:p>
      <w:pPr>
        <w:spacing w:after="120"/>
      </w:pPr>
      <w:r>
        <w:rPr>
          <w:rFonts w:ascii="Calibri" w:cs="Calibri" w:eastAsia="Microsoft YaHei" w:hAnsi="Calibri"/>
        </w:rPr>
        <w:t xml:space="preserve">Five children, two girls and three boys, were operated on for wandering spleen during the study period. They were aged 2.75 to 13.08 years at their first presentation and together accounted for ten hospital encounters. Abdominal pain, alone or with vomiting or distension, was the presenting complaint at every encounter, and ultrasonography or CT established the diagnosis before operation in all five. Table 4 shows the course of each child and how the children were coded for the pooled analysis.</w:t>
      </w:r>
    </w:p>
    <w:p>
      <w:pPr>
        <w:spacing w:after="120"/>
      </w:pPr>
      <w:r>
        <w:rPr>
          <w:rFonts w:ascii="Calibri" w:cs="Calibri" w:eastAsia="Microsoft YaHei" w:hAnsi="Calibri"/>
          <w:b/>
          <w:bCs/>
        </w:rPr>
        <w:t xml:space="preserve">Course before the index operation.</w:t>
      </w:r>
      <w:r>
        <w:rPr>
          <w:rFonts w:ascii="Calibri" w:cs="Calibri" w:eastAsia="Microsoft YaHei" w:hAnsi="Calibri"/>
        </w:rPr>
        <w:t xml:space="preserve"> In Cases 1, 2 and 3 the diagnosis was made at the first presentation and operation was advised, but the families declined and chose conservative management with fluid resuscitation, gastrointestinal decompression and postural measures. Symptoms settled each time, after 5 to 7 days, and the children were discharged. All three were readmitted with recurrent pain and had their first splenic operation 16, 19 and 62 months after the first presentation (mean 32 months); Case 3 attended four times over more than five years. Case 5 had been admitted to another hospital one week before presentation and treated there as acute gastritis. Case 4 was operated on at his first presentation, because of a coexisting gastric perforation.</w:t>
      </w:r>
    </w:p>
    <w:p>
      <w:pPr>
        <w:spacing w:after="120"/>
      </w:pPr>
      <w:r>
        <w:rPr>
          <w:rFonts w:ascii="Calibri" w:cs="Calibri" w:eastAsia="Microsoft YaHei" w:hAnsi="Calibri"/>
          <w:b/>
          <w:bCs/>
        </w:rPr>
        <w:t xml:space="preserve">Index episode and spleen at operation.</w:t>
      </w:r>
      <w:r>
        <w:rPr>
          <w:rFonts w:ascii="Calibri" w:cs="Calibri" w:eastAsia="Microsoft YaHei" w:hAnsi="Calibri"/>
        </w:rPr>
        <w:t xml:space="preserve"> At the index operation the index episode had lasted 1 day in Case 1, 1 day in Case 2, 9 days in Case 3, 2 hours in Case 4 and about 21 hours in Case 5 (18 hours of continuous periumbilical pain before presentation and 2.5 hours from presentation to operation). For Cases 1, 2 and 4 the time from presentation to operation was not available when the children were coded, so none was added (rule 9) and these durations may be underestimates. </w:t>
      </w:r>
      <w:r>
        <w:rPr>
          <w:rFonts w:ascii="Calibri" w:cs="Calibri" w:eastAsia="Microsoft YaHei" w:hAnsi="Calibri"/>
          <w:b/>
          <w:bCs/>
        </w:rPr>
        <w:t xml:space="preserve">[PENDING: take the exact times of onset and operation from the records; where both are known the interval is calculated exactly (rule 8).]</w:t>
      </w:r>
      <w:r>
        <w:rPr>
          <w:rFonts w:ascii="Calibri" w:cs="Calibri" w:eastAsia="Microsoft YaHei" w:hAnsi="Calibri"/>
        </w:rPr>
        <w:t xml:space="preserve"> The spleen was non-viable at the index operation in four children. Cases 1 and 2 had pedicle torsion with infarction on CT and underwent total splenectomy, by laparotomy and by laparoscopy converted to laparotomy respectively; their preoperative platelet counts were 428 and 525 × 10⁹/L. In Case 5 the pedicle was twisted through about 720° and the spleen was congested, dark purple and did not reperfuse after detorsion; the platelet count was normal, the white cell count 24.20 × 10⁹/L and the C-reactive protein 117 mg/L. Non-contrast CT had shown an enlarged, heterogeneous spleen in the anterior lower abdomen and pelvis, a whirl sign formed by the spiralling splenic vessels, perisplenic fat stranding, splenic vessels encircling the splenic flexure of the colon, and free fluid. Total splenectomy with separate double ligation of the splenic artery took 81 minutes, with a blood loss of 10 mL.</w:t>
      </w:r>
    </w:p>
    <w:p>
      <w:pPr>
        <w:spacing w:after="120"/>
      </w:pPr>
      <w:r>
        <w:rPr>
          <w:rFonts w:ascii="Calibri" w:cs="Calibri" w:eastAsia="Microsoft YaHei" w:hAnsi="Calibri"/>
          <w:b/>
          <w:bCs/>
        </w:rPr>
        <w:t xml:space="preserve">Case 3.</w:t>
      </w:r>
      <w:r>
        <w:rPr>
          <w:rFonts w:ascii="Calibri" w:cs="Calibri" w:eastAsia="Microsoft YaHei" w:hAnsi="Calibri"/>
        </w:rPr>
        <w:t xml:space="preserve"> At her third attendance CT showed a wandering spleen measuring 17.3 × 7.6 cm with partial infarction. At laparoscopy the infarcted parenchyma was resected and a subperitoneal pouch was made, but the spleen was too large to fit in it. The upper pole was therefore sutured to the diaphragm and the lower pole to the lateral peritoneum with 5-0 silk, with Hem-o-lok clips added. CT one week later showed a normally sited spleen. One month later she was readmitted with abdominal pain, and CT showed recurrent migration of the spleen (16.6 × 7.6 cm) with anteromedial rotation of the body and tail of the pancreas. Total splenectomy followed, and the resected spleen was cut into 3-cm slices and implanted in the greater omentum. Under the protocol's primary definition the spleen was non-viable at the index operation, because a partial splenectomy was done for infarction; in the sensitivity analysis that codes partial splenectomy for partial infarction as salvage it counts as viable, and the later total splenectomy is then reported as failure after splenopexy. </w:t>
      </w:r>
      <w:r>
        <w:rPr>
          <w:rFonts w:ascii="Calibri" w:cs="Calibri" w:eastAsia="Microsoft YaHei" w:hAnsi="Calibri"/>
          <w:b/>
          <w:bCs/>
        </w:rPr>
        <w:t xml:space="preserve">[PENDING: the authors to confirm this coding, to state whether the spleen removed at the second operation was viable, and to check the duration against the chart: the nine days were intermittent pain, and the duration of any worsening is needed for the alternative coding in rule 6.]</w:t>
      </w:r>
    </w:p>
    <w:p>
      <w:pPr>
        <w:spacing w:after="120"/>
      </w:pPr>
      <w:r>
        <w:rPr>
          <w:rFonts w:ascii="Calibri" w:cs="Calibri" w:eastAsia="Microsoft YaHei" w:hAnsi="Calibri"/>
          <w:b/>
          <w:bCs/>
        </w:rPr>
        <w:t xml:space="preserve">Case 4 and the reinforced two-pole fixation.</w:t>
      </w:r>
      <w:r>
        <w:rPr>
          <w:rFonts w:ascii="Calibri" w:cs="Calibri" w:eastAsia="Microsoft YaHei" w:hAnsi="Calibri"/>
        </w:rPr>
        <w:t xml:space="preserve"> Case 4 presented with two hours of abdominal distension. Non-contrast CT showed marked gastric distension with a wandering spleen and pedicle torsion, and contrast-enhanced CT 1.5 hours later showed free intraperitoneal and pelvic fluid, gastric volvulus and a gastrointestinal perforation; the spleen measured 8.4 × 3.7 cm and enhanced uniformly. At emergency laparotomy the stomach had rotated about its mesenteric axis; after reduction a 2-cm perforation on the posterior wall of the antrum was repaired. The spleen lay in the left mid-abdomen, held only by its pedicle, and was viable. It was returned to the left upper quadrant and fixed at both poles (Figure 2). Absorbable haemostatic gauze was laid on the visceral and diaphragmatic surfaces of the upper pole. A 2-0 non-absorbable silk suture was passed through the gauze on the visceral surface and the full thickness of the splenic parenchyma, out through the gauze on the diaphragmatic surface, through the diaphragmatic muscle, back through the gauze and the full thickness of the parenchyma, and tied on the visceral surface. The lower pole was fixed to the left lateral abdominal wall in the same way. He recovered without incident, and CT at 13 months showed a normally positioned spleen; he had no symptoms. </w:t>
      </w:r>
      <w:r>
        <w:rPr>
          <w:rFonts w:ascii="Calibri" w:cs="Calibri" w:eastAsia="Microsoft YaHei" w:hAnsi="Calibri"/>
          <w:b/>
          <w:bCs/>
        </w:rPr>
        <w:t xml:space="preserve">[PENDING: Figure 2, the schematic of the technique, at the journal's resolution; follow-up of Cases 4 and 5 to be updated at submission.]</w:t>
      </w:r>
    </w:p>
    <w:p>
      <w:pPr>
        <w:spacing w:after="120"/>
      </w:pPr>
      <w:r>
        <w:rPr>
          <w:rFonts w:ascii="Calibri" w:cs="Calibri" w:eastAsia="Microsoft YaHei" w:hAnsi="Calibri"/>
          <w:b/>
          <w:bCs/>
        </w:rPr>
        <w:t xml:space="preserve">After operation.</w:t>
      </w:r>
      <w:r>
        <w:rPr>
          <w:rFonts w:ascii="Calibri" w:cs="Calibri" w:eastAsia="Microsoft YaHei" w:hAnsi="Calibri"/>
        </w:rPr>
        <w:t xml:space="preserve"> All four children who had a total splenectomy developed thrombocytosis, which reached 918 × 10⁹/L on the ninth postoperative day in Case 5, and the count returned to normal on oral dipyridamole in every case. None had overwhelming post-splenectomy infection, thromboembolism or pulmonary hypertension during follow-up. Case 5 was well 5 months after operation. </w:t>
      </w:r>
      <w:r>
        <w:rPr>
          <w:rFonts w:ascii="Calibri" w:cs="Calibri" w:eastAsia="Microsoft YaHei" w:hAnsi="Calibri"/>
          <w:b/>
          <w:bCs/>
        </w:rPr>
        <w:t xml:space="preserve">[PENDING: length of follow-up of Cases 1, 2 and 3, and whether vaccination and antibiotic prophylaxis after splenectomy are documented.]</w:t>
      </w:r>
    </w:p>
    <w:p>
      <w:pPr>
        <w:spacing w:after="120"/>
      </w:pPr>
      <w:r>
        <w:rPr>
          <w:rFonts w:ascii="Calibri" w:cs="Calibri" w:eastAsia="Microsoft YaHei" w:hAnsi="Calibri"/>
          <w:b/>
          <w:bCs/>
        </w:rPr>
        <w:t xml:space="preserve">Table 4. Five children operated on at our institution, coded for the pooled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cantSplit/>
          <w:tblHeader/>
        </w:trPr>
        <w:tc>
          <w:tcPr>
            <w:tcW w:type="dxa" w:w="1002"/>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Case</w:t>
            </w:r>
          </w:p>
        </w:tc>
        <w:tc>
          <w:tcPr>
            <w:tcW w:type="dxa" w:w="1002"/>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Sex</w:t>
            </w:r>
          </w:p>
        </w:tc>
        <w:tc>
          <w:tcPr>
            <w:tcW w:type="dxa" w:w="1002"/>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Age at index operation (years)</w:t>
            </w:r>
          </w:p>
        </w:tc>
        <w:tc>
          <w:tcPr>
            <w:tcW w:type="dxa" w:w="1002"/>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Index episode (days)</w:t>
            </w:r>
          </w:p>
        </w:tc>
        <w:tc>
          <w:tcPr>
            <w:tcW w:type="dxa" w:w="1002"/>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Diagnosis before the index episode</w:t>
            </w:r>
          </w:p>
        </w:tc>
        <w:tc>
          <w:tcPr>
            <w:tcW w:type="dxa" w:w="1002"/>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Preoperative platelet count (×10⁹/L)</w:t>
            </w:r>
          </w:p>
        </w:tc>
        <w:tc>
          <w:tcPr>
            <w:tcW w:type="dxa" w:w="1002"/>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Index operation</w:t>
            </w:r>
          </w:p>
        </w:tc>
        <w:tc>
          <w:tcPr>
            <w:tcW w:type="dxa" w:w="1002"/>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Spleen at index operation</w:t>
            </w:r>
          </w:p>
        </w:tc>
        <w:tc>
          <w:tcPr>
            <w:tcW w:type="dxa" w:w="101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Final splenic status</w:t>
            </w:r>
          </w:p>
        </w:tc>
      </w:tr>
      <w:tr>
        <w:trPr>
          <w:cantSplit/>
          <w:tblHeader w:val="false"/>
        </w:trPr>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5.08</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 ᵃ</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Known; operation declined, readmitted after 16 months</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428</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Total splenectomy (laparotomy)</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Non-viable</w:t>
            </w:r>
          </w:p>
        </w:tc>
        <w:tc>
          <w:tcPr>
            <w:tcW w:type="dxa" w:w="1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Lost</w:t>
            </w:r>
          </w:p>
        </w:tc>
      </w:tr>
      <w:tr>
        <w:trPr>
          <w:cantSplit/>
          <w:tblHeader w:val="false"/>
        </w:trPr>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F</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7.08</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 ᵃ</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Known; operation declined, readmitted after 19 months</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525</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Total splenectomy (laparoscopy converted to laparotomy)</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Non-viable</w:t>
            </w:r>
          </w:p>
        </w:tc>
        <w:tc>
          <w:tcPr>
            <w:tcW w:type="dxa" w:w="1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Lost</w:t>
            </w:r>
          </w:p>
        </w:tc>
      </w:tr>
      <w:tr>
        <w:trPr>
          <w:cantSplit/>
          <w:tblHeader w:val="false"/>
        </w:trPr>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3</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F</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9.67</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9 ᵇ</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Known; operation declined at the first presentation, first splenic operation after 62 months</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172</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Partial splenectomy with capsular splenopexy</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Partly non-viable ᶜ</w:t>
            </w:r>
          </w:p>
        </w:tc>
        <w:tc>
          <w:tcPr>
            <w:tcW w:type="dxa" w:w="1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Lost; total splenectomy after recurrence at 1 month</w:t>
            </w:r>
          </w:p>
        </w:tc>
      </w:tr>
      <w:tr>
        <w:trPr>
          <w:cantSplit/>
          <w:tblHeader w:val="false"/>
        </w:trPr>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2.75</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0.1 ᵃ</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Diagnosed at presentation; operated at once</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177</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Gastric repair and reinforced two-pole splenopexy</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Viable</w:t>
            </w:r>
          </w:p>
        </w:tc>
        <w:tc>
          <w:tcPr>
            <w:tcW w:type="dxa" w:w="1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Preserved; well at 13 months</w:t>
            </w:r>
          </w:p>
        </w:tc>
      </w:tr>
      <w:tr>
        <w:trPr>
          <w:cantSplit/>
          <w:tblHeader w:val="false"/>
        </w:trPr>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5</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13.08</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0.9</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Missed; treated as acute gastritis one week earlier</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Normal ᵈ</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Total splenectomy (laparotomy)</w:t>
            </w:r>
          </w:p>
        </w:tc>
        <w:tc>
          <w:tcPr>
            <w:tcW w:type="dxa" w:w="100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Non-viable</w:t>
            </w:r>
          </w:p>
        </w:tc>
        <w:tc>
          <w:tcPr>
            <w:tcW w:type="dxa" w:w="1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Lost; well at 5 months</w:t>
            </w:r>
          </w:p>
        </w:tc>
      </w:tr>
    </w:tbl>
    <w:p>
      <w:pPr>
        <w:spacing w:after="120"/>
      </w:pPr>
    </w:p>
    <w:p>
      <w:pPr>
        <w:spacing w:after="120"/>
      </w:pPr>
      <w:r>
        <w:rPr>
          <w:rFonts w:ascii="Calibri" w:cs="Calibri" w:eastAsia="Microsoft YaHei" w:hAnsi="Calibri"/>
        </w:rPr>
        <w:t xml:space="preserve">Footnotes. ᵃ Duration at presentation; no time to operation added (rule 9). ᵇ Intermittent pain; the whole stated period is used (rule 6). ᶜ Partial infarction; coded non-viable under the primary definition and as salvage in sensitivity analysis 3. ᵈ The exact value was not recorded. F, female; M, male. Durations are in days (2 hours = 0.1 day; 18 hours of symptoms plus 2.5 hours to operation = 0.9 day).</w:t>
      </w:r>
    </w:p>
    <w:p>
      <w:pPr>
        <w:pStyle w:val="Heading3"/>
        <w:keepNext/>
      </w:pPr>
      <w:r>
        <w:rPr>
          <w:rFonts w:ascii="Calibri" w:cs="Calibri" w:eastAsia="Microsoft YaHei" w:hAnsi="Calibri"/>
        </w:rPr>
        <w:t xml:space="preserve">Risk of bias</w:t>
      </w:r>
    </w:p>
    <w:p>
      <w:pPr>
        <w:spacing w:after="120"/>
      </w:pPr>
      <w:r>
        <w:rPr>
          <w:rFonts w:ascii="Calibri" w:cs="Calibri" w:eastAsia="Microsoft YaHei" w:hAnsi="Calibri"/>
          <w:b/>
          <w:bCs/>
        </w:rPr>
        <w:t xml:space="preserve">[PENDING: the paragraph below is a template.]</w:t>
      </w:r>
      <w:r>
        <w:rPr>
          <w:rFonts w:ascii="Calibri" w:cs="Calibri" w:eastAsia="Microsoft YaHei" w:hAnsi="Calibri"/>
        </w:rPr>
        <w:t xml:space="preserve"> Of the </w:t>
      </w:r>
      <w:r>
        <w:rPr>
          <w:rFonts w:ascii="Calibri" w:cs="Calibri" w:eastAsia="Microsoft YaHei" w:hAnsi="Calibri"/>
          <w:b/>
          <w:bCs/>
        </w:rPr>
        <w:t xml:space="preserve">[n]</w:t>
      </w:r>
      <w:r>
        <w:rPr>
          <w:rFonts w:ascii="Calibri" w:cs="Calibri" w:eastAsia="Microsoft YaHei" w:hAnsi="Calibri"/>
        </w:rPr>
        <w:t xml:space="preserve"> included reports, </w:t>
      </w:r>
      <w:r>
        <w:rPr>
          <w:rFonts w:ascii="Calibri" w:cs="Calibri" w:eastAsia="Microsoft YaHei" w:hAnsi="Calibri"/>
          <w:b/>
          <w:bCs/>
        </w:rPr>
        <w:t xml:space="preserve">[n]</w:t>
      </w:r>
      <w:r>
        <w:rPr>
          <w:rFonts w:ascii="Calibri" w:cs="Calibri" w:eastAsia="Microsoft YaHei" w:hAnsi="Calibri"/>
        </w:rPr>
        <w:t xml:space="preserve"> were judged adequate for the primary question, that is, the items on ascertainment of exposure, ascertainment of outcome and sufficiency of reporting were all satisfied. The items most often not satisfied were </w:t>
      </w:r>
      <w:r>
        <w:rPr>
          <w:rFonts w:ascii="Calibri" w:cs="Calibri" w:eastAsia="Microsoft YaHei" w:hAnsi="Calibri"/>
          <w:b/>
          <w:bCs/>
        </w:rPr>
        <w:t xml:space="preserve">[...]</w:t>
      </w:r>
      <w:r>
        <w:rPr>
          <w:rFonts w:ascii="Calibri" w:cs="Calibri" w:eastAsia="Microsoft YaHei" w:hAnsi="Calibri"/>
        </w:rPr>
        <w:t xml:space="preserve">. The two reviewers agreed on </w:t>
      </w:r>
      <w:r>
        <w:rPr>
          <w:rFonts w:ascii="Calibri" w:cs="Calibri" w:eastAsia="Microsoft YaHei" w:hAnsi="Calibri"/>
          <w:b/>
          <w:bCs/>
        </w:rPr>
        <w:t xml:space="preserve">[n]</w:t>
      </w:r>
      <w:r>
        <w:rPr>
          <w:rFonts w:ascii="Calibri" w:cs="Calibri" w:eastAsia="Microsoft YaHei" w:hAnsi="Calibri"/>
        </w:rPr>
        <w:t xml:space="preserve"> of </w:t>
      </w:r>
      <w:r>
        <w:rPr>
          <w:rFonts w:ascii="Calibri" w:cs="Calibri" w:eastAsia="Microsoft YaHei" w:hAnsi="Calibri"/>
          <w:b/>
          <w:bCs/>
        </w:rPr>
        <w:t xml:space="preserve">[n]</w:t>
      </w:r>
      <w:r>
        <w:rPr>
          <w:rFonts w:ascii="Calibri" w:cs="Calibri" w:eastAsia="Microsoft YaHei" w:hAnsi="Calibri"/>
        </w:rPr>
        <w:t xml:space="preserve"> reports (kappa </w:t>
      </w:r>
      <w:r>
        <w:rPr>
          <w:rFonts w:ascii="Calibri" w:cs="Calibri" w:eastAsia="Microsoft YaHei" w:hAnsi="Calibri"/>
          <w:b/>
          <w:bCs/>
        </w:rPr>
        <w:t xml:space="preserve">[x]</w:t>
      </w:r>
      <w:r>
        <w:rPr>
          <w:rFonts w:ascii="Calibri" w:cs="Calibri" w:eastAsia="Microsoft YaHei" w:hAnsi="Calibri"/>
        </w:rPr>
        <w:t xml:space="preserve">). Item-level judgements for every report are given in Additional file </w:t>
      </w:r>
      <w:r>
        <w:rPr>
          <w:rFonts w:ascii="Calibri" w:cs="Calibri" w:eastAsia="Microsoft YaHei" w:hAnsi="Calibri"/>
          <w:b/>
          <w:bCs/>
        </w:rPr>
        <w:t xml:space="preserve">[n]</w:t>
      </w:r>
      <w:r>
        <w:rPr>
          <w:rFonts w:ascii="Calibri" w:cs="Calibri" w:eastAsia="Microsoft YaHei" w:hAnsi="Calibri"/>
        </w:rPr>
        <w:t xml:space="preserve">.</w:t>
      </w:r>
    </w:p>
    <w:p>
      <w:pPr>
        <w:pStyle w:val="Heading3"/>
        <w:keepNext/>
      </w:pPr>
      <w:r>
        <w:rPr>
          <w:rFonts w:ascii="Calibri" w:cs="Calibri" w:eastAsia="Microsoft YaHei" w:hAnsi="Calibri"/>
        </w:rPr>
        <w:t xml:space="preserve">Duration of the index episode and splenic viability</w:t>
      </w:r>
    </w:p>
    <w:p>
      <w:pPr>
        <w:spacing w:after="120"/>
      </w:pPr>
      <w:r>
        <w:rPr>
          <w:rFonts w:ascii="Calibri" w:cs="Calibri" w:eastAsia="Microsoft YaHei" w:hAnsi="Calibri"/>
          <w:b/>
          <w:bCs/>
        </w:rPr>
        <w:t xml:space="preserve">[PENDING: the paragraphs below are templates for the primary analysis.]</w:t>
      </w:r>
      <w:r>
        <w:rPr>
          <w:rFonts w:ascii="Calibri" w:cs="Calibri" w:eastAsia="Microsoft YaHei" w:hAnsi="Calibri"/>
        </w:rPr>
        <w:t xml:space="preserve"> The duration of the index episode was available for </w:t>
      </w:r>
      <w:r>
        <w:rPr>
          <w:rFonts w:ascii="Calibri" w:cs="Calibri" w:eastAsia="Microsoft YaHei" w:hAnsi="Calibri"/>
          <w:b/>
          <w:bCs/>
        </w:rPr>
        <w:t xml:space="preserve">[n]</w:t>
      </w:r>
      <w:r>
        <w:rPr>
          <w:rFonts w:ascii="Calibri" w:cs="Calibri" w:eastAsia="Microsoft YaHei" w:hAnsi="Calibri"/>
        </w:rPr>
        <w:t xml:space="preserve"> of </w:t>
      </w:r>
      <w:r>
        <w:rPr>
          <w:rFonts w:ascii="Calibri" w:cs="Calibri" w:eastAsia="Microsoft YaHei" w:hAnsi="Calibri"/>
          <w:b/>
          <w:bCs/>
        </w:rPr>
        <w:t xml:space="preserve">[N]</w:t>
      </w:r>
      <w:r>
        <w:rPr>
          <w:rFonts w:ascii="Calibri" w:cs="Calibri" w:eastAsia="Microsoft YaHei" w:hAnsi="Calibri"/>
        </w:rPr>
        <w:t xml:space="preserve"> children (</w:t>
      </w:r>
      <w:r>
        <w:rPr>
          <w:rFonts w:ascii="Calibri" w:cs="Calibri" w:eastAsia="Microsoft YaHei" w:hAnsi="Calibri"/>
          <w:b/>
          <w:bCs/>
        </w:rPr>
        <w:t xml:space="preserve">[%]</w:t>
      </w:r>
      <w:r>
        <w:rPr>
          <w:rFonts w:ascii="Calibri" w:cs="Calibri" w:eastAsia="Microsoft YaHei" w:hAnsi="Calibri"/>
        </w:rPr>
        <w:t xml:space="preserve">), and </w:t>
      </w:r>
      <w:r>
        <w:rPr>
          <w:rFonts w:ascii="Calibri" w:cs="Calibri" w:eastAsia="Microsoft YaHei" w:hAnsi="Calibri"/>
          <w:b/>
          <w:bCs/>
        </w:rPr>
        <w:t xml:space="preserve">[n]</w:t>
      </w:r>
      <w:r>
        <w:rPr>
          <w:rFonts w:ascii="Calibri" w:cs="Calibri" w:eastAsia="Microsoft YaHei" w:hAnsi="Calibri"/>
        </w:rPr>
        <w:t xml:space="preserve"> of them had a non-viable spleen at operation. The median duration was </w:t>
      </w:r>
      <w:r>
        <w:rPr>
          <w:rFonts w:ascii="Calibri" w:cs="Calibri" w:eastAsia="Microsoft YaHei" w:hAnsi="Calibri"/>
          <w:b/>
          <w:bCs/>
        </w:rPr>
        <w:t xml:space="preserve">[x]</w:t>
      </w:r>
      <w:r>
        <w:rPr>
          <w:rFonts w:ascii="Calibri" w:cs="Calibri" w:eastAsia="Microsoft YaHei" w:hAnsi="Calibri"/>
        </w:rPr>
        <w:t xml:space="preserve"> days (interquartile range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 in children with a non-viable spleen and </w:t>
      </w:r>
      <w:r>
        <w:rPr>
          <w:rFonts w:ascii="Calibri" w:cs="Calibri" w:eastAsia="Microsoft YaHei" w:hAnsi="Calibri"/>
          <w:b/>
          <w:bCs/>
        </w:rPr>
        <w:t xml:space="preserve">[x]</w:t>
      </w:r>
      <w:r>
        <w:rPr>
          <w:rFonts w:ascii="Calibri" w:cs="Calibri" w:eastAsia="Microsoft YaHei" w:hAnsi="Calibri"/>
        </w:rPr>
        <w:t xml:space="preserve"> days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 in children with a viable spleen. Children with a reported duration and those without differed in </w:t>
      </w:r>
      <w:r>
        <w:rPr>
          <w:rFonts w:ascii="Calibri" w:cs="Calibri" w:eastAsia="Microsoft YaHei" w:hAnsi="Calibri"/>
          <w:b/>
          <w:bCs/>
        </w:rPr>
        <w:t xml:space="preserve">[...]</w:t>
      </w:r>
      <w:r>
        <w:rPr>
          <w:rFonts w:ascii="Calibri" w:cs="Calibri" w:eastAsia="Microsoft YaHei" w:hAnsi="Calibri"/>
        </w:rPr>
        <w:t xml:space="preserve">.</w:t>
      </w:r>
    </w:p>
    <w:p>
      <w:pPr>
        <w:spacing w:after="120"/>
      </w:pPr>
      <w:r>
        <w:rPr>
          <w:rFonts w:ascii="Calibri" w:cs="Calibri" w:eastAsia="Microsoft YaHei" w:hAnsi="Calibri"/>
        </w:rPr>
        <w:t xml:space="preserve">In the primary model, adjusted for age and period of publication, the odds ratio of a non-viable spleen per doubling of the duration of the index episode was </w:t>
      </w:r>
      <w:r>
        <w:rPr>
          <w:rFonts w:ascii="Calibri" w:cs="Calibri" w:eastAsia="Microsoft YaHei" w:hAnsi="Calibri"/>
          <w:b/>
          <w:bCs/>
        </w:rPr>
        <w:t xml:space="preserve">[x]</w:t>
      </w:r>
      <w:r>
        <w:rPr>
          <w:rFonts w:ascii="Calibri" w:cs="Calibri" w:eastAsia="Microsoft YaHei" w:hAnsi="Calibri"/>
        </w:rPr>
        <w:t xml:space="preserve"> (95% confidence interval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 </w:t>
      </w:r>
      <w:r>
        <w:rPr>
          <w:rFonts w:ascii="Calibri" w:cs="Calibri" w:eastAsia="Microsoft YaHei" w:hAnsi="Calibri"/>
          <w:b/>
          <w:bCs/>
        </w:rPr>
        <w:t xml:space="preserve">[n]</w:t>
      </w:r>
      <w:r>
        <w:rPr>
          <w:rFonts w:ascii="Calibri" w:cs="Calibri" w:eastAsia="Microsoft YaHei" w:hAnsi="Calibri"/>
        </w:rPr>
        <w:t xml:space="preserve"> children, </w:t>
      </w:r>
      <w:r>
        <w:rPr>
          <w:rFonts w:ascii="Calibri" w:cs="Calibri" w:eastAsia="Microsoft YaHei" w:hAnsi="Calibri"/>
          <w:b/>
          <w:bCs/>
        </w:rPr>
        <w:t xml:space="preserve">[n]</w:t>
      </w:r>
      <w:r>
        <w:rPr>
          <w:rFonts w:ascii="Calibri" w:cs="Calibri" w:eastAsia="Microsoft YaHei" w:hAnsi="Calibri"/>
        </w:rPr>
        <w:t xml:space="preserve"> events, </w:t>
      </w:r>
      <w:r>
        <w:rPr>
          <w:rFonts w:ascii="Calibri" w:cs="Calibri" w:eastAsia="Microsoft YaHei" w:hAnsi="Calibri"/>
          <w:b/>
          <w:bCs/>
        </w:rPr>
        <w:t xml:space="preserve">[n]</w:t>
      </w:r>
      <w:r>
        <w:rPr>
          <w:rFonts w:ascii="Calibri" w:cs="Calibri" w:eastAsia="Microsoft YaHei" w:hAnsi="Calibri"/>
        </w:rPr>
        <w:t xml:space="preserve"> reports). </w:t>
      </w:r>
      <w:r>
        <w:rPr>
          <w:rFonts w:ascii="Calibri" w:cs="Calibri" w:eastAsia="Microsoft YaHei" w:hAnsi="Calibri"/>
          <w:b/>
          <w:bCs/>
        </w:rPr>
        <w:t xml:space="preserve">[Non-linearity was examined with a spline because there were at least 10 events per degree of freedom / was not examined because there were fewer than 10 events per degree of freedom.]</w:t>
      </w:r>
      <w:r>
        <w:rPr>
          <w:rFonts w:ascii="Calibri" w:cs="Calibri" w:eastAsia="Microsoft YaHei" w:hAnsi="Calibri"/>
        </w:rPr>
        <w:t xml:space="preserve"> By category, the proportion with a non-viable spleen was </w:t>
      </w:r>
      <w:r>
        <w:rPr>
          <w:rFonts w:ascii="Calibri" w:cs="Calibri" w:eastAsia="Microsoft YaHei" w:hAnsi="Calibri"/>
          <w:b/>
          <w:bCs/>
        </w:rPr>
        <w:t xml:space="preserve">[x/n]</w:t>
      </w:r>
      <w:r>
        <w:rPr>
          <w:rFonts w:ascii="Calibri" w:cs="Calibri" w:eastAsia="Microsoft YaHei" w:hAnsi="Calibri"/>
        </w:rPr>
        <w:t xml:space="preserve"> for 2 days or less, </w:t>
      </w:r>
      <w:r>
        <w:rPr>
          <w:rFonts w:ascii="Calibri" w:cs="Calibri" w:eastAsia="Microsoft YaHei" w:hAnsi="Calibri"/>
          <w:b/>
          <w:bCs/>
        </w:rPr>
        <w:t xml:space="preserve">[x/n]</w:t>
      </w:r>
      <w:r>
        <w:rPr>
          <w:rFonts w:ascii="Calibri" w:cs="Calibri" w:eastAsia="Microsoft YaHei" w:hAnsi="Calibri"/>
        </w:rPr>
        <w:t xml:space="preserve"> for 3 to 7 days, </w:t>
      </w:r>
      <w:r>
        <w:rPr>
          <w:rFonts w:ascii="Calibri" w:cs="Calibri" w:eastAsia="Microsoft YaHei" w:hAnsi="Calibri"/>
          <w:b/>
          <w:bCs/>
        </w:rPr>
        <w:t xml:space="preserve">[x/n]</w:t>
      </w:r>
      <w:r>
        <w:rPr>
          <w:rFonts w:ascii="Calibri" w:cs="Calibri" w:eastAsia="Microsoft YaHei" w:hAnsi="Calibri"/>
        </w:rPr>
        <w:t xml:space="preserve"> for 8 to 30 days and </w:t>
      </w:r>
      <w:r>
        <w:rPr>
          <w:rFonts w:ascii="Calibri" w:cs="Calibri" w:eastAsia="Microsoft YaHei" w:hAnsi="Calibri"/>
          <w:b/>
          <w:bCs/>
        </w:rPr>
        <w:t xml:space="preserve">[x/n]</w:t>
      </w:r>
      <w:r>
        <w:rPr>
          <w:rFonts w:ascii="Calibri" w:cs="Calibri" w:eastAsia="Microsoft YaHei" w:hAnsi="Calibri"/>
        </w:rPr>
        <w:t xml:space="preserve"> for more than 30 days, with exact confidence intervals in Table 5 and a test for trend of </w:t>
      </w:r>
      <w:r>
        <w:rPr>
          <w:rFonts w:ascii="Calibri" w:cs="Calibri" w:eastAsia="Microsoft YaHei" w:hAnsi="Calibri"/>
          <w:b/>
          <w:bCs/>
        </w:rPr>
        <w:t xml:space="preserve">[p]</w:t>
      </w:r>
      <w:r>
        <w:rPr>
          <w:rFonts w:ascii="Calibri" w:cs="Calibri" w:eastAsia="Microsoft YaHei" w:hAnsi="Calibri"/>
        </w:rPr>
        <w:t xml:space="preserve"> (Figure 3). When the missing durations were all assigned to the shortest category the odds ratio was </w:t>
      </w:r>
      <w:r>
        <w:rPr>
          <w:rFonts w:ascii="Calibri" w:cs="Calibri" w:eastAsia="Microsoft YaHei" w:hAnsi="Calibri"/>
          <w:b/>
          <w:bCs/>
        </w:rPr>
        <w:t xml:space="preserve">[x]</w:t>
      </w:r>
      <w:r>
        <w:rPr>
          <w:rFonts w:ascii="Calibri" w:cs="Calibri" w:eastAsia="Microsoft YaHei" w:hAnsi="Calibri"/>
        </w:rPr>
        <w:t xml:space="preserve">, and when they were all assigned to the longest it was </w:t>
      </w:r>
      <w:r>
        <w:rPr>
          <w:rFonts w:ascii="Calibri" w:cs="Calibri" w:eastAsia="Microsoft YaHei" w:hAnsi="Calibri"/>
          <w:b/>
          <w:bCs/>
        </w:rPr>
        <w:t xml:space="preserve">[x]</w:t>
      </w:r>
      <w:r>
        <w:rPr>
          <w:rFonts w:ascii="Calibri" w:cs="Calibri" w:eastAsia="Microsoft YaHei" w:hAnsi="Calibri"/>
        </w:rPr>
        <w:t xml:space="preserve">.</w:t>
      </w:r>
    </w:p>
    <w:p>
      <w:pPr>
        <w:spacing w:after="120"/>
      </w:pPr>
      <w:r>
        <w:rPr>
          <w:rFonts w:ascii="Calibri" w:cs="Calibri" w:eastAsia="Microsoft YaHei" w:hAnsi="Calibri"/>
          <w:b/>
          <w:bCs/>
        </w:rPr>
        <w:t xml:space="preserve">Table 5. Non-viable spleen at operation by duration of the index episode.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Duration of the index episode</w:t>
            </w:r>
          </w:p>
        </w:tc>
        <w:tc>
          <w:tcPr>
            <w:tcW w:type="dxa" w:w="225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Children, n</w:t>
            </w:r>
          </w:p>
        </w:tc>
        <w:tc>
          <w:tcPr>
            <w:tcW w:type="dxa" w:w="225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Non-viable spleen, n (%)</w:t>
            </w:r>
          </w:p>
        </w:tc>
        <w:tc>
          <w:tcPr>
            <w:tcW w:type="dxa" w:w="2258"/>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Exact 95% confidence interval</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 days or less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3 to 7 days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8 to 30 days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More than 30 days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Duration not reported</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to x]</w:t>
            </w:r>
          </w:p>
        </w:tc>
      </w:tr>
    </w:tbl>
    <w:p>
      <w:pPr>
        <w:spacing w:after="120"/>
      </w:pPr>
    </w:p>
    <w:p>
      <w:pPr>
        <w:spacing w:after="120"/>
      </w:pPr>
      <w:r>
        <w:rPr>
          <w:rFonts w:ascii="Calibri" w:cs="Calibri" w:eastAsia="Microsoft YaHei" w:hAnsi="Calibri"/>
        </w:rPr>
        <w:t xml:space="preserve">Footnote. Boundary values fall in the lower category. Durations coded as lower bounds are listed in Additional file </w:t>
      </w:r>
      <w:r>
        <w:rPr>
          <w:rFonts w:ascii="Calibri" w:cs="Calibri" w:eastAsia="Microsoft YaHei" w:hAnsi="Calibri"/>
          <w:b/>
          <w:bCs/>
        </w:rPr>
        <w:t xml:space="preserve">[n]</w:t>
      </w:r>
      <w:r>
        <w:rPr>
          <w:rFonts w:ascii="Calibri" w:cs="Calibri" w:eastAsia="Microsoft YaHei" w:hAnsi="Calibri"/>
        </w:rPr>
        <w:t xml:space="preserve">.</w:t>
      </w:r>
    </w:p>
    <w:p>
      <w:pPr>
        <w:pStyle w:val="Heading3"/>
        <w:keepNext/>
      </w:pPr>
      <w:r>
        <w:rPr>
          <w:rFonts w:ascii="Calibri" w:cs="Calibri" w:eastAsia="Microsoft YaHei" w:hAnsi="Calibri"/>
        </w:rPr>
        <w:t xml:space="preserve">Secondary analyses, subgroups and sensitivity analyses</w:t>
      </w:r>
    </w:p>
    <w:p>
      <w:pPr>
        <w:spacing w:after="120"/>
      </w:pPr>
      <w:r>
        <w:rPr>
          <w:rFonts w:ascii="Calibri" w:cs="Calibri" w:eastAsia="Microsoft YaHei" w:hAnsi="Calibri"/>
          <w:b/>
          <w:bCs/>
        </w:rPr>
        <w:t xml:space="preserve">[PENDING: the paragraphs below are templates.]</w:t>
      </w:r>
      <w:r>
        <w:rPr>
          <w:rFonts w:ascii="Calibri" w:cs="Calibri" w:eastAsia="Microsoft YaHei" w:hAnsi="Calibri"/>
        </w:rPr>
        <w:t xml:space="preserve"> The odds ratio of a non-viable spleen per doubling of the total symptom history was </w:t>
      </w:r>
      <w:r>
        <w:rPr>
          <w:rFonts w:ascii="Calibri" w:cs="Calibri" w:eastAsia="Microsoft YaHei" w:hAnsi="Calibri"/>
          <w:b/>
          <w:bCs/>
        </w:rPr>
        <w:t xml:space="preserve">[x]</w:t>
      </w:r>
      <w:r>
        <w:rPr>
          <w:rFonts w:ascii="Calibri" w:cs="Calibri" w:eastAsia="Microsoft YaHei" w:hAnsi="Calibri"/>
        </w:rPr>
        <w:t xml:space="preserve"> (95% confidence interval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 </w:t>
      </w:r>
      <w:r>
        <w:rPr>
          <w:rFonts w:ascii="Calibri" w:cs="Calibri" w:eastAsia="Microsoft YaHei" w:hAnsi="Calibri"/>
          <w:b/>
          <w:bCs/>
        </w:rPr>
        <w:t xml:space="preserve">[n]</w:t>
      </w:r>
      <w:r>
        <w:rPr>
          <w:rFonts w:ascii="Calibri" w:cs="Calibri" w:eastAsia="Microsoft YaHei" w:hAnsi="Calibri"/>
        </w:rPr>
        <w:t xml:space="preserve"> children). A missed diagnosis at an earlier healthcare contact was recorded in </w:t>
      </w:r>
      <w:r>
        <w:rPr>
          <w:rFonts w:ascii="Calibri" w:cs="Calibri" w:eastAsia="Microsoft YaHei" w:hAnsi="Calibri"/>
          <w:b/>
          <w:bCs/>
        </w:rPr>
        <w:t xml:space="preserve">[n]</w:t>
      </w:r>
      <w:r>
        <w:rPr>
          <w:rFonts w:ascii="Calibri" w:cs="Calibri" w:eastAsia="Microsoft YaHei" w:hAnsi="Calibri"/>
        </w:rPr>
        <w:t xml:space="preserve"> children, and the odds ratio of a non-viable spleen was </w:t>
      </w:r>
      <w:r>
        <w:rPr>
          <w:rFonts w:ascii="Calibri" w:cs="Calibri" w:eastAsia="Microsoft YaHei" w:hAnsi="Calibri"/>
          <w:b/>
          <w:bCs/>
        </w:rPr>
        <w:t xml:space="preserve">[x]</w:t>
      </w:r>
      <w:r>
        <w:rPr>
          <w:rFonts w:ascii="Calibri" w:cs="Calibri" w:eastAsia="Microsoft YaHei" w:hAnsi="Calibri"/>
        </w:rPr>
        <w:t xml:space="preserve">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 A known diagnosis with deferred surgery was recorded in </w:t>
      </w:r>
      <w:r>
        <w:rPr>
          <w:rFonts w:ascii="Calibri" w:cs="Calibri" w:eastAsia="Microsoft YaHei" w:hAnsi="Calibri"/>
          <w:b/>
          <w:bCs/>
        </w:rPr>
        <w:t xml:space="preserve">[n]</w:t>
      </w:r>
      <w:r>
        <w:rPr>
          <w:rFonts w:ascii="Calibri" w:cs="Calibri" w:eastAsia="Microsoft YaHei" w:hAnsi="Calibri"/>
        </w:rPr>
        <w:t xml:space="preserve"> children, with an odds ratio of </w:t>
      </w:r>
      <w:r>
        <w:rPr>
          <w:rFonts w:ascii="Calibri" w:cs="Calibri" w:eastAsia="Microsoft YaHei" w:hAnsi="Calibri"/>
          <w:b/>
          <w:bCs/>
        </w:rPr>
        <w:t xml:space="preserve">[x]</w:t>
      </w:r>
      <w:r>
        <w:rPr>
          <w:rFonts w:ascii="Calibri" w:cs="Calibri" w:eastAsia="Microsoft YaHei" w:hAnsi="Calibri"/>
        </w:rPr>
        <w:t xml:space="preserve">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 A raised preoperative platelet count (above 450 × 10⁹/L) was recorded in </w:t>
      </w:r>
      <w:r>
        <w:rPr>
          <w:rFonts w:ascii="Calibri" w:cs="Calibri" w:eastAsia="Microsoft YaHei" w:hAnsi="Calibri"/>
          <w:b/>
          <w:bCs/>
        </w:rPr>
        <w:t xml:space="preserve">[n]</w:t>
      </w:r>
      <w:r>
        <w:rPr>
          <w:rFonts w:ascii="Calibri" w:cs="Calibri" w:eastAsia="Microsoft YaHei" w:hAnsi="Calibri"/>
        </w:rPr>
        <w:t xml:space="preserve"> of </w:t>
      </w:r>
      <w:r>
        <w:rPr>
          <w:rFonts w:ascii="Calibri" w:cs="Calibri" w:eastAsia="Microsoft YaHei" w:hAnsi="Calibri"/>
          <w:b/>
          <w:bCs/>
        </w:rPr>
        <w:t xml:space="preserve">[n]</w:t>
      </w:r>
      <w:r>
        <w:rPr>
          <w:rFonts w:ascii="Calibri" w:cs="Calibri" w:eastAsia="Microsoft YaHei" w:hAnsi="Calibri"/>
        </w:rPr>
        <w:t xml:space="preserve"> children with a count, and the odds ratio was </w:t>
      </w:r>
      <w:r>
        <w:rPr>
          <w:rFonts w:ascii="Calibri" w:cs="Calibri" w:eastAsia="Microsoft YaHei" w:hAnsi="Calibri"/>
          <w:b/>
          <w:bCs/>
        </w:rPr>
        <w:t xml:space="preserve">[x]</w:t>
      </w:r>
      <w:r>
        <w:rPr>
          <w:rFonts w:ascii="Calibri" w:cs="Calibri" w:eastAsia="Microsoft YaHei" w:hAnsi="Calibri"/>
        </w:rPr>
        <w:t xml:space="preserve">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w:t>
      </w:r>
    </w:p>
    <w:p>
      <w:pPr>
        <w:spacing w:after="120"/>
      </w:pPr>
      <w:r>
        <w:rPr>
          <w:rFonts w:ascii="Calibri" w:cs="Calibri" w:eastAsia="Microsoft YaHei" w:hAnsi="Calibri"/>
        </w:rPr>
        <w:t xml:space="preserve">In the pre-specified subgroups the odds ratio per doubling of duration was </w:t>
      </w:r>
      <w:r>
        <w:rPr>
          <w:rFonts w:ascii="Calibri" w:cs="Calibri" w:eastAsia="Microsoft YaHei" w:hAnsi="Calibri"/>
          <w:b/>
          <w:bCs/>
        </w:rPr>
        <w:t xml:space="preserve">[x]</w:t>
      </w:r>
      <w:r>
        <w:rPr>
          <w:rFonts w:ascii="Calibri" w:cs="Calibri" w:eastAsia="Microsoft YaHei" w:hAnsi="Calibri"/>
        </w:rPr>
        <w:t xml:space="preserve"> for presentation with gastric volvulus or gastric outlet obstruction (</w:t>
      </w:r>
      <w:r>
        <w:rPr>
          <w:rFonts w:ascii="Calibri" w:cs="Calibri" w:eastAsia="Microsoft YaHei" w:hAnsi="Calibri"/>
          <w:b/>
          <w:bCs/>
        </w:rPr>
        <w:t xml:space="preserve">[n]</w:t>
      </w:r>
      <w:r>
        <w:rPr>
          <w:rFonts w:ascii="Calibri" w:cs="Calibri" w:eastAsia="Microsoft YaHei" w:hAnsi="Calibri"/>
        </w:rPr>
        <w:t xml:space="preserve"> children), </w:t>
      </w:r>
      <w:r>
        <w:rPr>
          <w:rFonts w:ascii="Calibri" w:cs="Calibri" w:eastAsia="Microsoft YaHei" w:hAnsi="Calibri"/>
          <w:b/>
          <w:bCs/>
        </w:rPr>
        <w:t xml:space="preserve">[x]</w:t>
      </w:r>
      <w:r>
        <w:rPr>
          <w:rFonts w:ascii="Calibri" w:cs="Calibri" w:eastAsia="Microsoft YaHei" w:hAnsi="Calibri"/>
        </w:rPr>
        <w:t xml:space="preserve"> and </w:t>
      </w:r>
      <w:r>
        <w:rPr>
          <w:rFonts w:ascii="Calibri" w:cs="Calibri" w:eastAsia="Microsoft YaHei" w:hAnsi="Calibri"/>
          <w:b/>
          <w:bCs/>
        </w:rPr>
        <w:t xml:space="preserve">[x]</w:t>
      </w:r>
      <w:r>
        <w:rPr>
          <w:rFonts w:ascii="Calibri" w:cs="Calibri" w:eastAsia="Microsoft YaHei" w:hAnsi="Calibri"/>
        </w:rPr>
        <w:t xml:space="preserve"> for the congenital and acquired forms, and </w:t>
      </w:r>
      <w:r>
        <w:rPr>
          <w:rFonts w:ascii="Calibri" w:cs="Calibri" w:eastAsia="Microsoft YaHei" w:hAnsi="Calibri"/>
          <w:b/>
          <w:bCs/>
        </w:rPr>
        <w:t xml:space="preserve">[x]</w:t>
      </w:r>
      <w:r>
        <w:rPr>
          <w:rFonts w:ascii="Calibri" w:cs="Calibri" w:eastAsia="Microsoft YaHei" w:hAnsi="Calibri"/>
        </w:rPr>
        <w:t xml:space="preserve"> with an associated diaphragmatic anomaly (</w:t>
      </w:r>
      <w:r>
        <w:rPr>
          <w:rFonts w:ascii="Calibri" w:cs="Calibri" w:eastAsia="Microsoft YaHei" w:hAnsi="Calibri"/>
          <w:b/>
          <w:bCs/>
        </w:rPr>
        <w:t xml:space="preserve">[n]</w:t>
      </w:r>
      <w:r>
        <w:rPr>
          <w:rFonts w:ascii="Calibri" w:cs="Calibri" w:eastAsia="Microsoft YaHei" w:hAnsi="Calibri"/>
        </w:rPr>
        <w:t xml:space="preserve"> children). The eight sensitivity analyses (omitting the institutional series; pedicle torsion confirmed at operation only; partial splenectomy for partial infarction coded as salvage; alternative coding of intermittent or worsening episodes; reports judged adequate only; omitting Chinese-language reports; omitting reports before 2000; mixed-effects model with a random intercept for each report) gave odds ratios of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 (Table 6), and </w:t>
      </w:r>
      <w:r>
        <w:rPr>
          <w:rFonts w:ascii="Calibri" w:cs="Calibri" w:eastAsia="Microsoft YaHei" w:hAnsi="Calibri"/>
          <w:b/>
          <w:bCs/>
        </w:rPr>
        <w:t xml:space="preserve">[state whether any changed the conclusion of the primary analysis]</w:t>
      </w:r>
      <w:r>
        <w:rPr>
          <w:rFonts w:ascii="Calibri" w:cs="Calibri" w:eastAsia="Microsoft YaHei" w:hAnsi="Calibri"/>
        </w:rPr>
        <w:t xml:space="preserve">.</w:t>
      </w:r>
    </w:p>
    <w:p>
      <w:pPr>
        <w:spacing w:after="120"/>
      </w:pPr>
      <w:r>
        <w:rPr>
          <w:rFonts w:ascii="Calibri" w:cs="Calibri" w:eastAsia="Microsoft YaHei" w:hAnsi="Calibri"/>
          <w:b/>
          <w:bCs/>
        </w:rPr>
        <w:t xml:space="preserve">Table 6. Primary analysis and sensitivity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Analysis</w:t>
            </w:r>
          </w:p>
        </w:tc>
        <w:tc>
          <w:tcPr>
            <w:tcW w:type="dxa" w:w="225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Children, n</w:t>
            </w:r>
          </w:p>
        </w:tc>
        <w:tc>
          <w:tcPr>
            <w:tcW w:type="dxa" w:w="2256"/>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Events, n</w:t>
            </w:r>
          </w:p>
        </w:tc>
        <w:tc>
          <w:tcPr>
            <w:tcW w:type="dxa" w:w="2258"/>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rFonts w:ascii="Calibri" w:cs="Calibri" w:eastAsia="Microsoft YaHei" w:hAnsi="Calibri"/>
                <w:b/>
                <w:bCs/>
                <w:sz w:val="20"/>
                <w:szCs w:val="20"/>
              </w:rPr>
              <w:t xml:space="preserve">Odds ratio per doubling (95% confidence interval)</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Primary</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1. Without the institutional series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2. Pedicle torsion confirmed at operation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3. Partial splenectomy for partial infarction as salvage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4. Alternative coding of intermittent or worsening episodes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5. Reports judged adequate</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6. Without Chinese-language reports</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7. Without reports before 2000</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(x to x)]</w:t>
            </w:r>
          </w:p>
        </w:tc>
      </w:tr>
      <w:tr>
        <w:trPr>
          <w:cantSplit/>
          <w:tblHeader w:val="false"/>
        </w:trPr>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8. Mixed-effects model, random intercept for each report</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[n]</w:t>
            </w:r>
          </w:p>
        </w:tc>
        <w:tc>
          <w:tcPr>
            <w:tcW w:type="dxa" w:w="225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Microsoft YaHei" w:hAnsi="Calibri"/>
                <w:sz w:val="20"/>
                <w:szCs w:val="20"/>
              </w:rPr>
              <w:t xml:space="preserve">[x (x to x)]</w:t>
            </w:r>
          </w:p>
        </w:tc>
      </w:tr>
    </w:tbl>
    <w:p>
      <w:pPr>
        <w:spacing w:after="120"/>
      </w:pPr>
    </w:p>
    <w:p>
      <w:pPr>
        <w:spacing w:after="120"/>
      </w:pPr>
      <w:r>
        <w:rPr>
          <w:rFonts w:ascii="Calibri" w:cs="Calibri" w:eastAsia="Microsoft YaHei" w:hAnsi="Calibri"/>
        </w:rPr>
        <w:t xml:space="preserve">Footnote. All models were adjusted for age and period of publication.</w:t>
      </w:r>
    </w:p>
    <w:p>
      <w:pPr>
        <w:pStyle w:val="Heading3"/>
        <w:keepNext/>
      </w:pPr>
      <w:r>
        <w:rPr>
          <w:rFonts w:ascii="Calibri" w:cs="Calibri" w:eastAsia="Microsoft YaHei" w:hAnsi="Calibri"/>
        </w:rPr>
        <w:t xml:space="preserve">Additional outcomes</w:t>
      </w:r>
    </w:p>
    <w:p>
      <w:pPr>
        <w:spacing w:after="120"/>
      </w:pPr>
      <w:r>
        <w:rPr>
          <w:rFonts w:ascii="Calibri" w:cs="Calibri" w:eastAsia="Microsoft YaHei" w:hAnsi="Calibri"/>
          <w:b/>
          <w:bCs/>
        </w:rPr>
        <w:t xml:space="preserve">[PENDING: the paragraph below is a template.]</w:t>
      </w:r>
      <w:r>
        <w:rPr>
          <w:rFonts w:ascii="Calibri" w:cs="Calibri" w:eastAsia="Microsoft YaHei" w:hAnsi="Calibri"/>
        </w:rPr>
        <w:t xml:space="preserve"> A viable spleen was removed at the index operation in </w:t>
      </w:r>
      <w:r>
        <w:rPr>
          <w:rFonts w:ascii="Calibri" w:cs="Calibri" w:eastAsia="Microsoft YaHei" w:hAnsi="Calibri"/>
          <w:b/>
          <w:bCs/>
        </w:rPr>
        <w:t xml:space="preserve">[n]</w:t>
      </w:r>
      <w:r>
        <w:rPr>
          <w:rFonts w:ascii="Calibri" w:cs="Calibri" w:eastAsia="Microsoft YaHei" w:hAnsi="Calibri"/>
        </w:rPr>
        <w:t xml:space="preserve"> children, for the reasons </w:t>
      </w:r>
      <w:r>
        <w:rPr>
          <w:rFonts w:ascii="Calibri" w:cs="Calibri" w:eastAsia="Microsoft YaHei" w:hAnsi="Calibri"/>
          <w:b/>
          <w:bCs/>
        </w:rPr>
        <w:t xml:space="preserve">[...]</w:t>
      </w:r>
      <w:r>
        <w:rPr>
          <w:rFonts w:ascii="Calibri" w:cs="Calibri" w:eastAsia="Microsoft YaHei" w:hAnsi="Calibri"/>
        </w:rPr>
        <w:t xml:space="preserve">. Failure after splenopexy was recorded in </w:t>
      </w:r>
      <w:r>
        <w:rPr>
          <w:rFonts w:ascii="Calibri" w:cs="Calibri" w:eastAsia="Microsoft YaHei" w:hAnsi="Calibri"/>
          <w:b/>
          <w:bCs/>
        </w:rPr>
        <w:t xml:space="preserve">[n]</w:t>
      </w:r>
      <w:r>
        <w:rPr>
          <w:rFonts w:ascii="Calibri" w:cs="Calibri" w:eastAsia="Microsoft YaHei" w:hAnsi="Calibri"/>
        </w:rPr>
        <w:t xml:space="preserve"> of </w:t>
      </w:r>
      <w:r>
        <w:rPr>
          <w:rFonts w:ascii="Calibri" w:cs="Calibri" w:eastAsia="Microsoft YaHei" w:hAnsi="Calibri"/>
          <w:b/>
          <w:bCs/>
        </w:rPr>
        <w:t xml:space="preserve">[n]</w:t>
      </w:r>
      <w:r>
        <w:rPr>
          <w:rFonts w:ascii="Calibri" w:cs="Calibri" w:eastAsia="Microsoft YaHei" w:hAnsi="Calibri"/>
        </w:rPr>
        <w:t xml:space="preserve"> children who had a splenopexy, by technique </w:t>
      </w:r>
      <w:r>
        <w:rPr>
          <w:rFonts w:ascii="Calibri" w:cs="Calibri" w:eastAsia="Microsoft YaHei" w:hAnsi="Calibri"/>
          <w:b/>
          <w:bCs/>
        </w:rPr>
        <w:t xml:space="preserve">[...]</w:t>
      </w:r>
      <w:r>
        <w:rPr>
          <w:rFonts w:ascii="Calibri" w:cs="Calibri" w:eastAsia="Microsoft YaHei" w:hAnsi="Calibri"/>
        </w:rPr>
        <w:t xml:space="preserve">. Torsion while awaiting surgery after a known diagnosis occurred in </w:t>
      </w:r>
      <w:r>
        <w:rPr>
          <w:rFonts w:ascii="Calibri" w:cs="Calibri" w:eastAsia="Microsoft YaHei" w:hAnsi="Calibri"/>
          <w:b/>
          <w:bCs/>
        </w:rPr>
        <w:t xml:space="preserve">[n]</w:t>
      </w:r>
      <w:r>
        <w:rPr>
          <w:rFonts w:ascii="Calibri" w:cs="Calibri" w:eastAsia="Microsoft YaHei" w:hAnsi="Calibri"/>
        </w:rPr>
        <w:t xml:space="preserve"> of </w:t>
      </w:r>
      <w:r>
        <w:rPr>
          <w:rFonts w:ascii="Calibri" w:cs="Calibri" w:eastAsia="Microsoft YaHei" w:hAnsi="Calibri"/>
          <w:b/>
          <w:bCs/>
        </w:rPr>
        <w:t xml:space="preserve">[n]</w:t>
      </w:r>
      <w:r>
        <w:rPr>
          <w:rFonts w:ascii="Calibri" w:cs="Calibri" w:eastAsia="Microsoft YaHei" w:hAnsi="Calibri"/>
        </w:rPr>
        <w:t xml:space="preserve"> children (</w:t>
      </w:r>
      <w:r>
        <w:rPr>
          <w:rFonts w:ascii="Calibri" w:cs="Calibri" w:eastAsia="Microsoft YaHei" w:hAnsi="Calibri"/>
          <w:b/>
          <w:bCs/>
        </w:rPr>
        <w:t xml:space="preserve">[%]</w:t>
      </w:r>
      <w:r>
        <w:rPr>
          <w:rFonts w:ascii="Calibri" w:cs="Calibri" w:eastAsia="Microsoft YaHei" w:hAnsi="Calibri"/>
        </w:rPr>
        <w:t xml:space="preserve">; exact 95% confidence interval </w:t>
      </w:r>
      <w:r>
        <w:rPr>
          <w:rFonts w:ascii="Calibri" w:cs="Calibri" w:eastAsia="Microsoft YaHei" w:hAnsi="Calibri"/>
          <w:b/>
          <w:bCs/>
        </w:rPr>
        <w:t xml:space="preserve">[x]</w:t>
      </w:r>
      <w:r>
        <w:rPr>
          <w:rFonts w:ascii="Calibri" w:cs="Calibri" w:eastAsia="Microsoft YaHei" w:hAnsi="Calibri"/>
        </w:rPr>
        <w:t xml:space="preserve"> to </w:t>
      </w:r>
      <w:r>
        <w:rPr>
          <w:rFonts w:ascii="Calibri" w:cs="Calibri" w:eastAsia="Microsoft YaHei" w:hAnsi="Calibri"/>
          <w:b/>
          <w:bCs/>
        </w:rPr>
        <w:t xml:space="preserve">[x]</w:t>
      </w:r>
      <w:r>
        <w:rPr>
          <w:rFonts w:ascii="Calibri" w:cs="Calibri" w:eastAsia="Microsoft YaHei" w:hAnsi="Calibri"/>
        </w:rPr>
        <w:t xml:space="preserve">). Splenic status at the last follow-up was preserved in </w:t>
      </w:r>
      <w:r>
        <w:rPr>
          <w:rFonts w:ascii="Calibri" w:cs="Calibri" w:eastAsia="Microsoft YaHei" w:hAnsi="Calibri"/>
          <w:b/>
          <w:bCs/>
        </w:rPr>
        <w:t xml:space="preserve">[n]</w:t>
      </w:r>
      <w:r>
        <w:rPr>
          <w:rFonts w:ascii="Calibri" w:cs="Calibri" w:eastAsia="Microsoft YaHei" w:hAnsi="Calibri"/>
        </w:rPr>
        <w:t xml:space="preserve">, partly preserved in </w:t>
      </w:r>
      <w:r>
        <w:rPr>
          <w:rFonts w:ascii="Calibri" w:cs="Calibri" w:eastAsia="Microsoft YaHei" w:hAnsi="Calibri"/>
          <w:b/>
          <w:bCs/>
        </w:rPr>
        <w:t xml:space="preserve">[n]</w:t>
      </w:r>
      <w:r>
        <w:rPr>
          <w:rFonts w:ascii="Calibri" w:cs="Calibri" w:eastAsia="Microsoft YaHei" w:hAnsi="Calibri"/>
        </w:rPr>
        <w:t xml:space="preserve"> and lost in </w:t>
      </w:r>
      <w:r>
        <w:rPr>
          <w:rFonts w:ascii="Calibri" w:cs="Calibri" w:eastAsia="Microsoft YaHei" w:hAnsi="Calibri"/>
          <w:b/>
          <w:bCs/>
        </w:rPr>
        <w:t xml:space="preserve">[n]</w:t>
      </w:r>
      <w:r>
        <w:rPr>
          <w:rFonts w:ascii="Calibri" w:cs="Calibri" w:eastAsia="Microsoft YaHei" w:hAnsi="Calibri"/>
        </w:rPr>
        <w:t xml:space="preserve"> children. The platelet count was reported before operation in </w:t>
      </w:r>
      <w:r>
        <w:rPr>
          <w:rFonts w:ascii="Calibri" w:cs="Calibri" w:eastAsia="Microsoft YaHei" w:hAnsi="Calibri"/>
          <w:b/>
          <w:bCs/>
        </w:rPr>
        <w:t xml:space="preserve">[n]</w:t>
      </w:r>
      <w:r>
        <w:rPr>
          <w:rFonts w:ascii="Calibri" w:cs="Calibri" w:eastAsia="Microsoft YaHei" w:hAnsi="Calibri"/>
        </w:rPr>
        <w:t xml:space="preserve"> children and </w:t>
      </w:r>
      <w:r>
        <w:rPr>
          <w:rFonts w:ascii="Calibri" w:cs="Calibri" w:eastAsia="Microsoft YaHei" w:hAnsi="Calibri"/>
          <w:b/>
          <w:bCs/>
        </w:rPr>
        <w:t xml:space="preserve">[n]</w:t>
      </w:r>
      <w:r>
        <w:rPr>
          <w:rFonts w:ascii="Calibri" w:cs="Calibri" w:eastAsia="Microsoft YaHei" w:hAnsi="Calibri"/>
        </w:rPr>
        <w:t xml:space="preserve"> had thrombocytosis. Reported complications after splenectomy were </w:t>
      </w:r>
      <w:r>
        <w:rPr>
          <w:rFonts w:ascii="Calibri" w:cs="Calibri" w:eastAsia="Microsoft YaHei" w:hAnsi="Calibri"/>
          <w:b/>
          <w:bCs/>
        </w:rPr>
        <w:t xml:space="preserve">[...]</w:t>
      </w:r>
      <w:r>
        <w:rPr>
          <w:rFonts w:ascii="Calibri" w:cs="Calibri" w:eastAsia="Microsoft YaHei" w:hAnsi="Calibri"/>
        </w:rPr>
        <w:t xml:space="preserve">.</w:t>
      </w:r>
    </w:p>
    <w:p>
      <w:pPr>
        <w:pStyle w:val="Heading2"/>
        <w:keepNext/>
      </w:pPr>
      <w:r>
        <w:rPr>
          <w:rFonts w:ascii="Calibri" w:cs="Calibri" w:eastAsia="Microsoft YaHei" w:hAnsi="Calibri"/>
        </w:rPr>
        <w:t xml:space="preserve">Discussion</w:t>
      </w:r>
    </w:p>
    <w:p>
      <w:pPr>
        <w:spacing w:after="120"/>
      </w:pPr>
      <w:r>
        <w:rPr>
          <w:rFonts w:ascii="Calibri" w:cs="Calibri" w:eastAsia="Microsoft YaHei" w:hAnsi="Calibri"/>
          <w:b/>
          <w:bCs/>
        </w:rPr>
        <w:t xml:space="preserve">[PENDING: the Discussion cannot be written before the results. Planned structure.]</w:t>
      </w:r>
    </w:p>
    <w:p>
      <w:pPr>
        <w:pStyle w:val="ListParagraph"/>
        <w:numPr>
          <w:ilvl w:val="0"/>
          <w:numId w:val="2"/>
        </w:numPr>
        <w:spacing w:after="60"/>
      </w:pPr>
      <w:r>
        <w:rPr>
          <w:rFonts w:ascii="Calibri" w:cs="Calibri" w:eastAsia="Microsoft YaHei" w:hAnsi="Calibri"/>
          <w:b/>
          <w:bCs/>
        </w:rPr>
        <w:t xml:space="preserve">Principal findings.</w:t>
      </w:r>
      <w:r>
        <w:rPr>
          <w:rFonts w:ascii="Calibri" w:cs="Calibri" w:eastAsia="Microsoft YaHei" w:hAnsi="Calibri"/>
        </w:rPr>
        <w:t xml:space="preserve"> State the primary result and its direction as it is, including a null or non-linear result.</w:t>
      </w:r>
    </w:p>
    <w:p>
      <w:pPr>
        <w:pStyle w:val="ListParagraph"/>
        <w:numPr>
          <w:ilvl w:val="0"/>
          <w:numId w:val="2"/>
        </w:numPr>
        <w:spacing w:after="60"/>
      </w:pPr>
      <w:r>
        <w:rPr>
          <w:rFonts w:ascii="Calibri" w:cs="Calibri" w:eastAsia="Microsoft YaHei" w:hAnsi="Calibri"/>
          <w:b/>
          <w:bCs/>
        </w:rPr>
        <w:t xml:space="preserve">Comparison with earlier reviews.</w:t>
      </w:r>
      <w:r>
        <w:rPr>
          <w:rFonts w:ascii="Calibri" w:cs="Calibri" w:eastAsia="Microsoft YaHei" w:hAnsi="Calibri"/>
        </w:rPr>
        <w:t xml:space="preserve"> Ganarin and colleagues [1] did not analyse time to surgery; relate the findings to the multicentre and pooled experience on splenopexy [5, 7] and to the other reviews [2–4, 6, 8, 9].</w:t>
      </w:r>
    </w:p>
    <w:p>
      <w:pPr>
        <w:pStyle w:val="ListParagraph"/>
        <w:numPr>
          <w:ilvl w:val="0"/>
          <w:numId w:val="2"/>
        </w:numPr>
        <w:spacing w:after="60"/>
      </w:pPr>
      <w:r>
        <w:rPr>
          <w:rFonts w:ascii="Calibri" w:cs="Calibri" w:eastAsia="Microsoft YaHei" w:hAnsi="Calibri"/>
          <w:b/>
          <w:bCs/>
        </w:rPr>
        <w:t xml:space="preserve">Interpretation.</w:t>
      </w:r>
      <w:r>
        <w:rPr>
          <w:rFonts w:ascii="Calibri" w:cs="Calibri" w:eastAsia="Microsoft YaHei" w:hAnsi="Calibri"/>
        </w:rPr>
        <w:t xml:space="preserve"> The pilot suggested a signal for the duration of the index episode and not for long chronic histories, and in our own series the losses followed index episodes lasting days rather than weeks, in three children after surgery had been deferred for a known diagnosis and in one after a missed diagnosis (checked against Table 4: the index episodes lasted 0.9, 1, 1 and 9 days). Discuss whether symptom duration under-measures silent chronic torsion, and the difference between a missed diagnosis and a known diagnosis for which surgery was deferred. Report torsion while awaiting surgery as a separate outcome.</w:t>
      </w:r>
    </w:p>
    <w:p>
      <w:pPr>
        <w:pStyle w:val="ListParagraph"/>
        <w:numPr>
          <w:ilvl w:val="0"/>
          <w:numId w:val="2"/>
        </w:numPr>
        <w:spacing w:after="60"/>
      </w:pPr>
      <w:r>
        <w:rPr>
          <w:rFonts w:ascii="Calibri" w:cs="Calibri" w:eastAsia="Microsoft YaHei" w:hAnsi="Calibri"/>
          <w:b/>
          <w:bCs/>
        </w:rPr>
        <w:t xml:space="preserve">Strengths.</w:t>
      </w:r>
      <w:r>
        <w:rPr>
          <w:rFonts w:ascii="Calibri" w:cs="Calibri" w:eastAsia="Microsoft YaHei" w:hAnsi="Calibri"/>
        </w:rPr>
        <w:t xml:space="preserve"> Pre-registered protocol with the exposure and outcome fixed before the formal searches; individual patient data; inclusion of Chinese-language reports; separate reporting of viable spleens removed and failures after splenopexy.</w:t>
      </w:r>
    </w:p>
    <w:p>
      <w:pPr>
        <w:pStyle w:val="ListParagraph"/>
        <w:numPr>
          <w:ilvl w:val="0"/>
          <w:numId w:val="2"/>
        </w:numPr>
        <w:spacing w:after="60"/>
      </w:pPr>
      <w:r>
        <w:rPr>
          <w:rFonts w:ascii="Calibri" w:cs="Calibri" w:eastAsia="Microsoft YaHei" w:hAnsi="Calibri"/>
          <w:b/>
          <w:bCs/>
        </w:rPr>
        <w:t xml:space="preserve">Limitations.</w:t>
      </w:r>
      <w:r>
        <w:rPr>
          <w:rFonts w:ascii="Calibri" w:cs="Calibri" w:eastAsia="Microsoft YaHei" w:hAnsi="Calibri"/>
        </w:rPr>
        <w:t xml:space="preserve"> Evidence from case reports and small series is expected to be of very low certainty, with selective reporting of successful salvage and of favourable timelines. Embase and Google Scholar were not searched and citation searching was incomplete, so relevant reports may have been missed. Reports in languages other than English and Chinese were listed but not extracted. The duration of symptoms is reported inconsistently and may be missing for children whose spleen was saved. Our own series is small and single-centre and includes only children who came to operation. </w:t>
      </w:r>
      <w:r>
        <w:rPr>
          <w:rFonts w:ascii="Calibri" w:cs="Calibri" w:eastAsia="Microsoft YaHei" w:hAnsi="Calibri"/>
          <w:b/>
          <w:bCs/>
        </w:rPr>
        <w:t xml:space="preserve">[PENDING: limitations arising from the screening process, once decided.]</w:t>
      </w:r>
    </w:p>
    <w:p>
      <w:pPr>
        <w:pStyle w:val="ListParagraph"/>
        <w:numPr>
          <w:ilvl w:val="0"/>
          <w:numId w:val="2"/>
        </w:numPr>
        <w:spacing w:after="60"/>
      </w:pPr>
      <w:r>
        <w:rPr>
          <w:rFonts w:ascii="Calibri" w:cs="Calibri" w:eastAsia="Microsoft YaHei" w:hAnsi="Calibri"/>
          <w:b/>
          <w:bCs/>
        </w:rPr>
        <w:t xml:space="preserve">Implications.</w:t>
      </w:r>
      <w:r>
        <w:rPr>
          <w:rFonts w:ascii="Calibri" w:cs="Calibri" w:eastAsia="Microsoft YaHei" w:hAnsi="Calibri"/>
        </w:rPr>
        <w:t xml:space="preserve"> </w:t>
      </w:r>
      <w:r>
        <w:rPr>
          <w:rFonts w:ascii="Calibri" w:cs="Calibri" w:eastAsia="Microsoft YaHei" w:hAnsi="Calibri"/>
          <w:b/>
          <w:bCs/>
        </w:rPr>
        <w:t xml:space="preserve">[PENDING.]</w:t>
      </w:r>
    </w:p>
    <w:p>
      <w:pPr>
        <w:pStyle w:val="Heading2"/>
        <w:keepNext/>
      </w:pPr>
      <w:r>
        <w:rPr>
          <w:rFonts w:ascii="Calibri" w:cs="Calibri" w:eastAsia="Microsoft YaHei" w:hAnsi="Calibri"/>
        </w:rPr>
        <w:t xml:space="preserve">Conclusions</w:t>
      </w:r>
    </w:p>
    <w:p>
      <w:pPr>
        <w:spacing w:after="120"/>
      </w:pPr>
      <w:r>
        <w:rPr>
          <w:rFonts w:ascii="Calibri" w:cs="Calibri" w:eastAsia="Microsoft YaHei" w:hAnsi="Calibri"/>
          <w:b/>
          <w:bCs/>
        </w:rPr>
        <w:t xml:space="preserve">[PENDING.]</w:t>
      </w:r>
    </w:p>
    <w:p>
      <w:pPr>
        <w:pStyle w:val="Heading2"/>
        <w:keepNext/>
      </w:pPr>
      <w:r>
        <w:rPr>
          <w:rFonts w:ascii="Calibri" w:cs="Calibri" w:eastAsia="Microsoft YaHei" w:hAnsi="Calibri"/>
        </w:rPr>
        <w:t xml:space="preserve">List of abbreviations</w:t>
      </w:r>
    </w:p>
    <w:p>
      <w:pPr>
        <w:spacing w:after="120"/>
      </w:pPr>
      <w:r>
        <w:rPr>
          <w:rFonts w:ascii="Calibri" w:cs="Calibri" w:eastAsia="Microsoft YaHei" w:hAnsi="Calibri"/>
        </w:rPr>
        <w:t xml:space="preserve">CBM: China Biology Medicine database; CNKI: China National Knowledge Infrastructure; GRADE: Grading of Recommendations Assessment, Development and Evaluation; IPD: individual patient data; PRISMA: Preferred Reporting Items for Systematic Reviews and Meta-Analyses; PRISMA-IPD: PRISMA extension for individual participant data; PRISMA-S: PRISMA extension for literature searches; PROSPERO: International Prospective Register of Systematic Reviews. </w:t>
      </w:r>
      <w:r>
        <w:rPr>
          <w:rFonts w:ascii="Calibri" w:cs="Calibri" w:eastAsia="Microsoft YaHei" w:hAnsi="Calibri"/>
          <w:b/>
          <w:bCs/>
        </w:rPr>
        <w:t xml:space="preserve">[PENDING: revise when the text is final.]</w:t>
      </w:r>
    </w:p>
    <w:p>
      <w:pPr>
        <w:pStyle w:val="Heading2"/>
        <w:keepNext/>
      </w:pPr>
      <w:r>
        <w:rPr>
          <w:rFonts w:ascii="Calibri" w:cs="Calibri" w:eastAsia="Microsoft YaHei" w:hAnsi="Calibri"/>
        </w:rPr>
        <w:t xml:space="preserve">Declarations</w:t>
      </w:r>
    </w:p>
    <w:p>
      <w:pPr>
        <w:spacing w:after="120"/>
      </w:pPr>
      <w:r>
        <w:rPr>
          <w:rFonts w:ascii="Calibri" w:cs="Calibri" w:eastAsia="Microsoft YaHei" w:hAnsi="Calibri"/>
          <w:b/>
          <w:bCs/>
        </w:rPr>
        <w:t xml:space="preserve">Ethics approval and consent to participate.</w:t>
      </w:r>
      <w:r>
        <w:rPr>
          <w:rFonts w:ascii="Calibri" w:cs="Calibri" w:eastAsia="Microsoft YaHei" w:hAnsi="Calibri"/>
        </w:rPr>
        <w:t xml:space="preserve"> The systematic review used data from published reports only. The institutional series was approved by the ethics committee of Wuhan Children's Hospital (reference 2025R156-E01), with a supplementary approval covering the fifth patient. </w:t>
      </w:r>
      <w:r>
        <w:rPr>
          <w:rFonts w:ascii="Calibri" w:cs="Calibri" w:eastAsia="Microsoft YaHei" w:hAnsi="Calibri"/>
          <w:b/>
          <w:bCs/>
        </w:rPr>
        <w:t xml:space="preserve">[PENDING: confirm the name of the committee as it must appear, whether the supplementary approval carries its own reference number, and the wording on consent to participate.]</w:t>
      </w:r>
    </w:p>
    <w:p>
      <w:pPr>
        <w:spacing w:after="120"/>
      </w:pPr>
      <w:r>
        <w:rPr>
          <w:rFonts w:ascii="Calibri" w:cs="Calibri" w:eastAsia="Microsoft YaHei" w:hAnsi="Calibri"/>
          <w:b/>
          <w:bCs/>
        </w:rPr>
        <w:t xml:space="preserve">Consent for publication.</w:t>
      </w:r>
      <w:r>
        <w:rPr>
          <w:rFonts w:ascii="Calibri" w:cs="Calibri" w:eastAsia="Microsoft YaHei" w:hAnsi="Calibri"/>
        </w:rPr>
        <w:t xml:space="preserve"> </w:t>
      </w:r>
      <w:r>
        <w:rPr>
          <w:rFonts w:ascii="Calibri" w:cs="Calibri" w:eastAsia="Microsoft YaHei" w:hAnsi="Calibri"/>
          <w:b/>
          <w:bCs/>
        </w:rPr>
        <w:t xml:space="preserve">[PENDING: written consent for publication of clinical details and images from the parents or legal guardians of all five children. The journal asks that consent forms are not sent at submission but may be requested at any stage.]</w:t>
      </w:r>
    </w:p>
    <w:p>
      <w:pPr>
        <w:spacing w:after="120"/>
      </w:pPr>
      <w:r>
        <w:rPr>
          <w:rFonts w:ascii="Calibri" w:cs="Calibri" w:eastAsia="Microsoft YaHei" w:hAnsi="Calibri"/>
          <w:b/>
          <w:bCs/>
        </w:rPr>
        <w:t xml:space="preserve">Availability of data and materials.</w:t>
      </w:r>
      <w:r>
        <w:rPr>
          <w:rFonts w:ascii="Calibri" w:cs="Calibri" w:eastAsia="Microsoft YaHei" w:hAnsi="Calibri"/>
        </w:rPr>
        <w:t xml:space="preserve"> </w:t>
      </w:r>
      <w:r>
        <w:rPr>
          <w:rFonts w:ascii="Calibri" w:cs="Calibri" w:eastAsia="Microsoft YaHei" w:hAnsi="Calibri"/>
          <w:b/>
          <w:bCs/>
        </w:rPr>
        <w:t xml:space="preserve">[PENDING: choose the route. The journal's wording for a repository is "The datasets generated and/or analysed during the current study are available in the [NAME] repository, [PERSISTENT WEB LINK TO DATASETS]"; for data inside the article and its additional files, "All data generated or analysed during this study are included in this published article [and its supplementary information files]"; where privacy could be compromised, the reason and the conditions of access must be stated. The journal's additional-file rules say that no individual participant details may be included, and it is not established whether a de-identified patient-level table counts as such; ask the editorial office before deciding between a public repository and an additional file. The journal also encourages depositing the search strings on searchRxiv and citing the dataset in the reference list with a persistent identifier.]</w:t>
      </w:r>
    </w:p>
    <w:p>
      <w:pPr>
        <w:spacing w:after="120"/>
      </w:pPr>
      <w:r>
        <w:rPr>
          <w:rFonts w:ascii="Calibri" w:cs="Calibri" w:eastAsia="Microsoft YaHei" w:hAnsi="Calibri"/>
          <w:b/>
          <w:bCs/>
        </w:rPr>
        <w:t xml:space="preserve">Competing interests.</w:t>
      </w:r>
      <w:r>
        <w:rPr>
          <w:rFonts w:ascii="Calibri" w:cs="Calibri" w:eastAsia="Microsoft YaHei" w:hAnsi="Calibri"/>
        </w:rPr>
        <w:t xml:space="preserve"> The authors declare that they have no competing interests. </w:t>
      </w:r>
      <w:r>
        <w:rPr>
          <w:rFonts w:ascii="Calibri" w:cs="Calibri" w:eastAsia="Microsoft YaHei" w:hAnsi="Calibri"/>
          <w:b/>
          <w:bCs/>
        </w:rPr>
        <w:t xml:space="preserve">[PENDING: confirm with all authors.]</w:t>
      </w:r>
    </w:p>
    <w:p>
      <w:pPr>
        <w:spacing w:after="120"/>
      </w:pPr>
      <w:r>
        <w:rPr>
          <w:rFonts w:ascii="Calibri" w:cs="Calibri" w:eastAsia="Microsoft YaHei" w:hAnsi="Calibri"/>
          <w:b/>
          <w:bCs/>
        </w:rPr>
        <w:t xml:space="preserve">Funding.</w:t>
      </w:r>
      <w:r>
        <w:rPr>
          <w:rFonts w:ascii="Calibri" w:cs="Calibri" w:eastAsia="Microsoft YaHei" w:hAnsi="Calibri"/>
        </w:rPr>
        <w:t xml:space="preserve"> None. </w:t>
      </w:r>
      <w:r>
        <w:rPr>
          <w:rFonts w:ascii="Calibri" w:cs="Calibri" w:eastAsia="Microsoft YaHei" w:hAnsi="Calibri"/>
          <w:b/>
          <w:bCs/>
        </w:rPr>
        <w:t xml:space="preserve">[PENDING: confirm with all authors.]</w:t>
      </w:r>
    </w:p>
    <w:p>
      <w:pPr>
        <w:spacing w:after="120"/>
      </w:pPr>
      <w:r>
        <w:rPr>
          <w:rFonts w:ascii="Calibri" w:cs="Calibri" w:eastAsia="Microsoft YaHei" w:hAnsi="Calibri"/>
          <w:b/>
          <w:bCs/>
        </w:rPr>
        <w:t xml:space="preserve">Authors' contributions.</w:t>
      </w:r>
      <w:r>
        <w:rPr>
          <w:rFonts w:ascii="Calibri" w:cs="Calibri" w:eastAsia="Microsoft YaHei" w:hAnsi="Calibri"/>
        </w:rPr>
        <w:t xml:space="preserve"> </w:t>
      </w:r>
      <w:r>
        <w:rPr>
          <w:rFonts w:ascii="Calibri" w:cs="Calibri" w:eastAsia="Microsoft YaHei" w:hAnsi="Calibri"/>
          <w:b/>
          <w:bCs/>
        </w:rPr>
        <w:t xml:space="preserve">[PENDING: to be written by the authors, referring to each author by initials, ending with "All authors read and approved the final manuscript." Contributions of the second reviewer of the title and abstract stage and of any author added since registration must be included.]</w:t>
      </w:r>
    </w:p>
    <w:p>
      <w:pPr>
        <w:spacing w:after="120"/>
      </w:pPr>
      <w:r>
        <w:rPr>
          <w:rFonts w:ascii="Calibri" w:cs="Calibri" w:eastAsia="Microsoft YaHei" w:hAnsi="Calibri"/>
          <w:b/>
          <w:bCs/>
        </w:rPr>
        <w:t xml:space="preserve">Acknowledgements.</w:t>
      </w:r>
      <w:r>
        <w:rPr>
          <w:rFonts w:ascii="Calibri" w:cs="Calibri" w:eastAsia="Microsoft YaHei" w:hAnsi="Calibri"/>
        </w:rPr>
        <w:t xml:space="preserve"> The medical librarian who reviewed the search strategies. </w:t>
      </w:r>
      <w:r>
        <w:rPr>
          <w:rFonts w:ascii="Calibri" w:cs="Calibri" w:eastAsia="Microsoft YaHei" w:hAnsi="Calibri"/>
          <w:b/>
          <w:bCs/>
        </w:rPr>
        <w:t xml:space="preserve">[PENDING: name, and permission of the person named, which the journal requires.]</w:t>
      </w:r>
    </w:p>
    <w:p>
      <w:pPr>
        <w:spacing w:after="120"/>
      </w:pPr>
      <w:r>
        <w:rPr>
          <w:rFonts w:ascii="Calibri" w:cs="Calibri" w:eastAsia="Microsoft YaHei" w:hAnsi="Calibri"/>
          <w:b/>
          <w:bCs/>
        </w:rPr>
        <w:t xml:space="preserve">Authors' information.</w:t>
      </w:r>
      <w:r>
        <w:rPr>
          <w:rFonts w:ascii="Calibri" w:cs="Calibri" w:eastAsia="Microsoft YaHei" w:hAnsi="Calibri"/>
        </w:rPr>
        <w:t xml:space="preserve"> Not applicable. </w:t>
      </w:r>
      <w:r>
        <w:rPr>
          <w:rFonts w:ascii="Calibri" w:cs="Calibri" w:eastAsia="Microsoft YaHei" w:hAnsi="Calibri"/>
          <w:b/>
          <w:bCs/>
        </w:rPr>
        <w:t xml:space="preserve">[Optional section.]</w:t>
      </w:r>
    </w:p>
    <w:p>
      <w:pPr>
        <w:pStyle w:val="Heading2"/>
        <w:keepNext/>
      </w:pPr>
      <w:r>
        <w:rPr>
          <w:rFonts w:ascii="Calibri" w:cs="Calibri" w:eastAsia="Microsoft YaHei" w:hAnsi="Calibri"/>
        </w:rPr>
        <w:t xml:space="preserve">References</w:t>
      </w:r>
    </w:p>
    <w:p>
      <w:pPr>
        <w:pStyle w:val="ListParagraph"/>
        <w:numPr>
          <w:ilvl w:val="0"/>
          <w:numId w:val="3"/>
        </w:numPr>
        <w:spacing w:after="60"/>
      </w:pPr>
      <w:r>
        <w:rPr>
          <w:rFonts w:ascii="Calibri" w:cs="Calibri" w:eastAsia="Microsoft YaHei" w:hAnsi="Calibri"/>
        </w:rPr>
        <w:t xml:space="preserve">Ganarin A, Fascetti Leon F, La Pergola E, Gamba P. Surgical approach of wandering spleen in infants and children: a systematic review. J Laparoendosc Adv Surg Tech A. 2021. doi:10.1089/lap.2020.0759</w:t>
      </w:r>
    </w:p>
    <w:p>
      <w:pPr>
        <w:pStyle w:val="ListParagraph"/>
        <w:numPr>
          <w:ilvl w:val="0"/>
          <w:numId w:val="3"/>
        </w:numPr>
        <w:spacing w:after="60"/>
      </w:pPr>
      <w:r>
        <w:rPr>
          <w:rFonts w:ascii="Calibri" w:cs="Calibri" w:eastAsia="Microsoft YaHei" w:hAnsi="Calibri"/>
        </w:rPr>
        <w:t xml:space="preserve">Allen KB, Andrews G. Pediatric wandering spleen—the case for splenopexy: review of 35 reported cases in the literature. J Pediatr Surg. 1989;24:432-5.</w:t>
      </w:r>
    </w:p>
    <w:p>
      <w:pPr>
        <w:pStyle w:val="ListParagraph"/>
        <w:numPr>
          <w:ilvl w:val="0"/>
          <w:numId w:val="3"/>
        </w:numPr>
        <w:spacing w:after="60"/>
      </w:pPr>
      <w:r>
        <w:rPr>
          <w:rFonts w:ascii="Calibri" w:cs="Calibri" w:eastAsia="Microsoft YaHei" w:hAnsi="Calibri"/>
        </w:rPr>
        <w:t xml:space="preserve">Brown CVR, Virgilio GR, Vazquez WD. Wandering spleen and its complications in children: a case series and review of the literature. J Pediatr Surg. 2003;38:1676-9.</w:t>
      </w:r>
    </w:p>
    <w:p>
      <w:pPr>
        <w:pStyle w:val="ListParagraph"/>
        <w:numPr>
          <w:ilvl w:val="0"/>
          <w:numId w:val="3"/>
        </w:numPr>
        <w:spacing w:after="60"/>
      </w:pPr>
      <w:r>
        <w:rPr>
          <w:rFonts w:ascii="Calibri" w:cs="Calibri" w:eastAsia="Microsoft YaHei" w:hAnsi="Calibri"/>
        </w:rPr>
        <w:t xml:space="preserve">Soleimani M, Mehrabi A, Kashfi A, et al. Surgical treatment of patients with wandering spleen: report of six cases with a review of the literature. Surg Today. 2007;37:261-9.</w:t>
      </w:r>
    </w:p>
    <w:p>
      <w:pPr>
        <w:pStyle w:val="ListParagraph"/>
        <w:numPr>
          <w:ilvl w:val="0"/>
          <w:numId w:val="3"/>
        </w:numPr>
        <w:spacing w:after="60"/>
      </w:pPr>
      <w:r>
        <w:rPr>
          <w:rFonts w:ascii="Calibri" w:cs="Calibri" w:eastAsia="Microsoft YaHei" w:hAnsi="Calibri"/>
        </w:rPr>
        <w:t xml:space="preserve">Fiquet-Francois C, Belouadah M, Ludot H, et al. Wandering spleen in children: multicenter retrospective study. J Pediatr Surg. 2010;45:1519-24.</w:t>
      </w:r>
    </w:p>
    <w:p>
      <w:pPr>
        <w:pStyle w:val="ListParagraph"/>
        <w:numPr>
          <w:ilvl w:val="0"/>
          <w:numId w:val="3"/>
        </w:numPr>
        <w:spacing w:after="60"/>
      </w:pPr>
      <w:r>
        <w:rPr>
          <w:rFonts w:ascii="Calibri" w:cs="Calibri" w:eastAsia="Microsoft YaHei" w:hAnsi="Calibri"/>
        </w:rPr>
        <w:t xml:space="preserve">Lombardi R, Menchini L, Corneli T, et al. Wandering spleen in children: a report of 3 cases and a brief literature review underlining the importance of diagnostic imaging. Pediatr Radiol. 2014. doi:10.1007/s00247-013-2851-6</w:t>
      </w:r>
    </w:p>
    <w:p>
      <w:pPr>
        <w:pStyle w:val="ListParagraph"/>
        <w:numPr>
          <w:ilvl w:val="0"/>
          <w:numId w:val="3"/>
        </w:numPr>
        <w:spacing w:after="60"/>
      </w:pPr>
      <w:r>
        <w:rPr>
          <w:rFonts w:ascii="Calibri" w:cs="Calibri" w:eastAsia="Microsoft YaHei" w:hAnsi="Calibri"/>
        </w:rPr>
        <w:t xml:space="preserve">Alqadi GO, Saxena AK. Is laparoscopic approach for wandering spleen in children an option? J Minim Access Surg. 2019;15:93-7.</w:t>
      </w:r>
    </w:p>
    <w:p>
      <w:pPr>
        <w:pStyle w:val="ListParagraph"/>
        <w:numPr>
          <w:ilvl w:val="0"/>
          <w:numId w:val="3"/>
        </w:numPr>
        <w:spacing w:after="60"/>
      </w:pPr>
      <w:r>
        <w:rPr>
          <w:rFonts w:ascii="Calibri" w:cs="Calibri" w:eastAsia="Microsoft YaHei" w:hAnsi="Calibri"/>
        </w:rPr>
        <w:t xml:space="preserve">Barabino M, Luigiano C, Pellicano R, et al. "Wandering spleen" as a rare cause of recurrent abdominal pain: a systematic review. Minerva Chir. 2019;74:359-63.</w:t>
      </w:r>
    </w:p>
    <w:p>
      <w:pPr>
        <w:pStyle w:val="ListParagraph"/>
        <w:numPr>
          <w:ilvl w:val="0"/>
          <w:numId w:val="3"/>
        </w:numPr>
        <w:spacing w:after="60"/>
      </w:pPr>
      <w:r>
        <w:rPr>
          <w:rFonts w:ascii="Calibri" w:cs="Calibri" w:eastAsia="Microsoft YaHei" w:hAnsi="Calibri"/>
        </w:rPr>
        <w:t xml:space="preserve">Moore E, O'Brien JW, Merali N, et al. Gastric outlet obstruction secondary to a wandering spleen: systematic review and surgical management of a case. Ann R Coll Surg Engl. 2023;105:501-6.</w:t>
      </w:r>
    </w:p>
    <w:p>
      <w:pPr>
        <w:pStyle w:val="ListParagraph"/>
        <w:numPr>
          <w:ilvl w:val="0"/>
          <w:numId w:val="3"/>
        </w:numPr>
        <w:spacing w:after="60"/>
      </w:pPr>
      <w:r>
        <w:rPr>
          <w:rFonts w:ascii="Calibri" w:cs="Calibri" w:eastAsia="Microsoft YaHei" w:hAnsi="Calibri"/>
        </w:rPr>
        <w:t xml:space="preserve">Page MJ, McKenzie JE, Bossuyt PM, et al. The PRISMA 2020 statement: an updated guideline for reporting systematic reviews. BMJ. 2021;372:n71.</w:t>
      </w:r>
    </w:p>
    <w:p>
      <w:pPr>
        <w:pStyle w:val="ListParagraph"/>
        <w:numPr>
          <w:ilvl w:val="0"/>
          <w:numId w:val="3"/>
        </w:numPr>
        <w:spacing w:after="60"/>
      </w:pPr>
      <w:r>
        <w:rPr>
          <w:rFonts w:ascii="Calibri" w:cs="Calibri" w:eastAsia="Microsoft YaHei" w:hAnsi="Calibri"/>
        </w:rPr>
        <w:t xml:space="preserve">Stewart LA, Clarke M, Rovers M, et al. Preferred reporting items for a systematic review and meta-analysis of individual participant data: the PRISMA-IPD statement. JAMA. 2015;313:1657-65.</w:t>
      </w:r>
    </w:p>
    <w:p>
      <w:pPr>
        <w:pStyle w:val="ListParagraph"/>
        <w:numPr>
          <w:ilvl w:val="0"/>
          <w:numId w:val="3"/>
        </w:numPr>
        <w:spacing w:after="60"/>
      </w:pPr>
      <w:r>
        <w:rPr>
          <w:rFonts w:ascii="Calibri" w:cs="Calibri" w:eastAsia="Microsoft YaHei" w:hAnsi="Calibri"/>
        </w:rPr>
        <w:t xml:space="preserve">Rethlefsen ML, Kirtley S, Waffenschmidt S, et al. PRISMA-S: an extension to the PRISMA Statement for Reporting Literature Searches in Systematic Reviews. Syst Rev. 2021;10:39.</w:t>
      </w:r>
    </w:p>
    <w:p>
      <w:pPr>
        <w:pStyle w:val="ListParagraph"/>
        <w:numPr>
          <w:ilvl w:val="0"/>
          <w:numId w:val="3"/>
        </w:numPr>
        <w:spacing w:after="60"/>
      </w:pPr>
      <w:r>
        <w:rPr>
          <w:rFonts w:ascii="Calibri" w:cs="Calibri" w:eastAsia="Microsoft YaHei" w:hAnsi="Calibri"/>
        </w:rPr>
        <w:t xml:space="preserve">Murad MH, Sultan S, Haffar S, Bazerbachi F. Methodological quality and synthesis of case series and case reports. BMJ Evid Based Med. 2018;23:60-3.</w:t>
      </w:r>
    </w:p>
    <w:p>
      <w:pPr>
        <w:pStyle w:val="Heading2"/>
        <w:keepNext/>
      </w:pPr>
      <w:r>
        <w:rPr>
          <w:rFonts w:ascii="Calibri" w:cs="Calibri" w:eastAsia="Microsoft YaHei" w:hAnsi="Calibri"/>
        </w:rPr>
        <w:t xml:space="preserve">Additional files (planned)</w:t>
      </w:r>
    </w:p>
    <w:p>
      <w:pPr>
        <w:spacing w:after="120"/>
      </w:pPr>
      <w:r>
        <w:rPr>
          <w:rFonts w:ascii="Calibri" w:cs="Calibri" w:eastAsia="Microsoft YaHei" w:hAnsi="Calibri"/>
        </w:rPr>
        <w:t xml:space="preserve">The journal asks for each additional file to be named "Additional file 1" and so on, cited in sequence in the text, and listed with file name, format, title and description; files may not exceed 20 MB each and may not contain individual participant details.</w:t>
      </w:r>
    </w:p>
    <w:p>
      <w:pPr>
        <w:pStyle w:val="ListParagraph"/>
        <w:numPr>
          <w:ilvl w:val="0"/>
          <w:numId w:val="2"/>
        </w:numPr>
        <w:spacing w:after="60"/>
      </w:pPr>
      <w:r>
        <w:rPr>
          <w:rFonts w:ascii="Calibri" w:cs="Calibri" w:eastAsia="Microsoft YaHei" w:hAnsi="Calibri"/>
        </w:rPr>
        <w:t xml:space="preserve">Additional file 1 (format to be decided): search strategies for each database and the search log (PRISMA-S).</w:t>
      </w:r>
    </w:p>
    <w:p>
      <w:pPr>
        <w:pStyle w:val="ListParagraph"/>
        <w:numPr>
          <w:ilvl w:val="0"/>
          <w:numId w:val="2"/>
        </w:numPr>
        <w:spacing w:after="60"/>
      </w:pPr>
      <w:r>
        <w:rPr>
          <w:rFonts w:ascii="Calibri" w:cs="Calibri" w:eastAsia="Microsoft YaHei" w:hAnsi="Calibri"/>
        </w:rPr>
        <w:t xml:space="preserve">Additional file 2 (.xlsx): data-extraction form and coding rules, including the duration-conversion rules.</w:t>
      </w:r>
    </w:p>
    <w:p>
      <w:pPr>
        <w:pStyle w:val="ListParagraph"/>
        <w:numPr>
          <w:ilvl w:val="0"/>
          <w:numId w:val="2"/>
        </w:numPr>
        <w:spacing w:after="60"/>
      </w:pPr>
      <w:r>
        <w:rPr>
          <w:rFonts w:ascii="Calibri" w:cs="Calibri" w:eastAsia="Microsoft YaHei" w:hAnsi="Calibri"/>
        </w:rPr>
        <w:t xml:space="preserve">Additional file 3: the individual patient dataset (route and format pending, see Availability of data and materials).</w:t>
      </w:r>
    </w:p>
    <w:p>
      <w:pPr>
        <w:pStyle w:val="ListParagraph"/>
        <w:numPr>
          <w:ilvl w:val="0"/>
          <w:numId w:val="2"/>
        </w:numPr>
        <w:spacing w:after="60"/>
      </w:pPr>
      <w:r>
        <w:rPr>
          <w:rFonts w:ascii="Calibri" w:cs="Calibri" w:eastAsia="Microsoft YaHei" w:hAnsi="Calibri"/>
        </w:rPr>
        <w:t xml:space="preserve">Additional file 4 (format to be decided): PRISMA 2020 and PRISMA-IPD checklists.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777777"/>
        <w:sz w:val="17"/>
        <w:szCs w:val="17"/>
      </w:rPr>
      <w:t xml:space="preserve">Manuscript draft v0.1 (17 Oct 2026) - not for submission   |   第 </w:t>
    </w:r>
    <w:r>
      <w:rPr>
        <w:rFonts w:ascii="Calibri" w:cs="Calibri" w:eastAsia="Microsoft YaHei" w:hAnsi="Calibri"/>
        <w:color w:val="777777"/>
        <w:sz w:val="17"/>
        <w:szCs w:val="17"/>
      </w:rPr>
      <w:fldChar w:fldCharType="begin"/>
      <w:instrText xml:space="preserve">PAGE</w:instrText>
      <w:fldChar w:fldCharType="separate"/>
      <w:fldChar w:fldCharType="end"/>
    </w:r>
    <w:r>
      <w:rPr>
        <w:rFonts w:ascii="Calibri" w:cs="Calibri" w:eastAsia="Microsoft YaHei" w:hAnsi="Calibri"/>
        <w:color w:val="777777"/>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Microsoft YaHe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Microsoft YaHe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Microsoft YaHe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guide</dc:title>
  <dc:creator>Wandering spleen review team</dc:creator>
  <cp:lastModifiedBy>Un-named</cp:lastModifiedBy>
  <cp:revision>1</cp:revision>
  <dcterms:created xsi:type="dcterms:W3CDTF">2026-10-17T15:49:28.076Z</dcterms:created>
  <dcterms:modified xsi:type="dcterms:W3CDTF">2026-10-17T15:49:28.076Z</dcterms:modified>
</cp:coreProperties>
</file>

<file path=docProps/custom.xml><?xml version="1.0" encoding="utf-8"?>
<Properties xmlns="http://schemas.openxmlformats.org/officeDocument/2006/custom-properties" xmlns:vt="http://schemas.openxmlformats.org/officeDocument/2006/docPropsVTypes"/>
</file>