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GRADE 证据可信度：描述框架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版本 v2026-10-25a（草稿）。适用：协议 v1.8 第 16 节（"Certainty will be described with GRADE principles; evidence drawn from case reports and series is expected to be of very low certainty"）。**这份框架在看到任何分析结果之前写好；各领域的判断规则先定，结果出来后只往里填。**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状态：</w:t>
      </w:r>
      <w:r>
        <w:rPr>
          <w:rFonts w:ascii="Calibri" w:cs="Calibri" w:eastAsia="Microsoft YaHei" w:hAnsi="Calibri"/>
        </w:rPr>
        <w:t xml:space="preserve"> 框架里每条规则都是 Claude 的读法，须作者和 Ji Wang 确认后才生效。GRADE 原文没有在这里读到（只看了检索摘要），规则以原文为准。没有任何研究结果。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要评几个结论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3069"/>
        <w:gridCol w:w="5415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序号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结论</w:t>
            </w:r>
          </w:p>
        </w:tc>
        <w:tc>
          <w:tcPr>
            <w:tcW w:type="dxa" w:w="54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指数发作持续时间（每翻一倍）与手术时脾脏无活力的关联</w:t>
            </w:r>
          </w:p>
        </w:tc>
        <w:tc>
          <w:tcPr>
            <w:tcW w:type="dxa" w:w="54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主要结论，协议第 16 节主要分析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已知诊断而推迟手术的儿童等待期间发生扭转的比例</w:t>
            </w:r>
          </w:p>
        </w:tc>
        <w:tc>
          <w:tcPr>
            <w:tcW w:type="dxa" w:w="54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次要，单一比例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次要暴露（总病程、漏诊、推迟手术、血小板增多）与无活力的关联</w:t>
            </w:r>
          </w:p>
        </w:tc>
        <w:tc>
          <w:tcPr>
            <w:tcW w:type="dxa" w:w="54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次要，各自较弱，只作简要描述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协议没有要求逐个结论做完整证据概要表；这里建议只对第 1 条做完整评级，第 2、3 条用一句话说明。这是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起点怎么定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本研究的主要问题是"暴露（持续时间）和结局有没有关联"，性质更接近预后因素研究，不是干预效果。据检索到的 GRADE 指南第 28 篇（Foroutan 等，J Clin Epidemiol 2020）的摘要，预后问题中观察性研究的证据</w:t>
      </w:r>
      <w:r>
        <w:rPr>
          <w:rFonts w:ascii="Calibri" w:cs="Calibri" w:eastAsia="Microsoft YaHei" w:hAnsi="Calibri"/>
          <w:b/>
          <w:bCs/>
        </w:rPr>
        <w:t xml:space="preserve">起点为高</w:t>
      </w:r>
      <w:r>
        <w:rPr>
          <w:rFonts w:ascii="Calibri" w:cs="Calibri" w:eastAsia="Microsoft YaHei" w:hAnsi="Calibri"/>
        </w:rPr>
        <w:t xml:space="preserve">，再按五个降级领域降级（摘要只是转述，须读原文核对）。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协议写的是预期"很低"。两条路径都可以走到很低：起点高、在偏倚风险、不精确等领域多次降级；或者起点低（按干预证据的惯例）。</w:t>
      </w:r>
      <w:r>
        <w:rPr>
          <w:rFonts w:ascii="Calibri" w:cs="Calibri" w:eastAsia="Microsoft YaHei" w:hAnsi="Calibri"/>
          <w:b/>
          <w:bCs/>
        </w:rPr>
        <w:t xml:space="preserve">起点选哪个，由作者和 Ji Wang 在看结果之前决定</w:t>
      </w:r>
      <w:r>
        <w:rPr>
          <w:rFonts w:ascii="Calibri" w:cs="Calibri" w:eastAsia="Microsoft YaHei" w:hAnsi="Calibri"/>
        </w:rPr>
        <w:t xml:space="preserve">；本框架两种都给出，最终判断相同时不影响结论。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建议：按预后因素研究的做法，起点为高，并写明理由。【待确认】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五个降级领域：规则和数据来源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3971"/>
        <w:gridCol w:w="3611"/>
      </w:tblGrid>
      <w:tr>
        <w:trPr>
          <w:cantSplit/>
          <w:tblHeader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领域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先定的判断规则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数据来源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偏倚风险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按偏倚风险表的 adequate：评为足够的报告占纳入主要分析患者的比例。多数患者来自不足够的报告 → 降 1 级；几乎所有患者都来自不足够的报告，或暴露、结局条目普遍不满足 → 降 2 级。另考虑：只纳入做了手术的儿童（没做手术的不在内）、报告选择性发表保脾病例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rob.csv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、偏倚风险的分歧清单、敏感性分析 5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不一致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各报告的效应方向是否一致。主要用混合效应模型的随机截距方差（敏感性分析 8）和去掉单个大系列后的估计（敏感性分析 1、6）；估计的方向或大小明显改变 → 降 1 级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主要分析、敏感性分析 1、5、6、8、附加分析 (a)–(d)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间接性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人群是 18 岁以下游走脾，暴露是指数发作持续时间，结局是手术时脾脏活力，与问题直接对应。持续时间多为"至就诊或入院"的下限、脾脏活力常靠影像推断时，考虑降 1 级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附加分析 (c) 去掉下限时长；提取表里的 viab_basis、idx_dur_lower_bound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不精确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看置信区间：包含无效应（比值比 = 1），或下限与上限差别大到会改变结论 → 降 1 级；事件数小于每个自由度 10 个（协议第 16 节样条条件）或区间既包含无效应又包含相当大的获益/伤害 → 降 2 级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主要分析的比值比和 95% 置信区间、事件数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发表偏倚</w:t>
            </w:r>
          </w:p>
        </w:tc>
        <w:tc>
          <w:tcPr>
            <w:tcW w:type="dxa" w:w="39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漏斗图不适用（协议）。按"单篇病例报告 vs 三例及以上连续系列"比较结局构成；保脾病例和有时间线的报告更容易发表；活力、持续时间缺失是否与结局有关 → 降 1 级到 2 级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报告类型比较；结局缺失和持续时间缺失的界限分析（附加分析 (b)、缺失持续时间界限）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升级的三个领域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领域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效应很大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先定：比值比 ≥ 2（或 ≤ 0.5）且区间不跨 1，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且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降级后仍有空间升级，才考虑升 1 级。病例报告来源的数据，选择性发表可能放大效应，升级须慎重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剂量-反应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四个持续时间类别的趋势检验（Cochran-Armitage）及连续模型方向一致，才考虑升 1 级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残余混杂只会削弱效应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本研究没有对混杂做充分校正（只校正年龄和发表时期）。除非能论证残余混杂方向只会削弱关联，否则不升级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升级只在没有因为严重偏倚风险或不精确降级的前提下才考虑。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证据概要表（空表，结果出来后填）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083"/>
        <w:gridCol w:w="1083"/>
        <w:gridCol w:w="1444"/>
        <w:gridCol w:w="3611"/>
      </w:tblGrid>
      <w:tr>
        <w:trPr>
          <w:cantSplit/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结论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患者数（报告数）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效应（95% CI）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可信度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降级、升级原因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持续时间每翻一倍与脾脏无活力的比值比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等待手术期间扭转的比例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10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[待填]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可信度一栏只填：高 / 中 / 低 / 极低。不要在没有分析结果前填写。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稿件里怎么写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方法：一句话——"Certainty of the evidence for the primary association was rated with the GRADE approach for prognostic factors [引用]; the rules for downgrading and upgrading were fixed before the analysis (Additional file)."（引用待核实。）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结果：证据概要表 + 一段话，说明每个降级领域的依据。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讨论和局限性：不论方向如何，都要写——数据来自病例报告和小系列，选择性报告和未校正的混杂使因果解释受限，可信度预期为很低到低。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规则表作为附加文件，和检索策略、提取表一起提供。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没有核实的、需要决定的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GRADE 指南第 28 篇和 GRADE 手册原文没有读过；起点、降级和升级的具体门槛以原文为准。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起点选高还是低；效应很大的阈值（比值比 2 / 0.5）是 Claude 的暂定值。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是否对次要结论评级。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这份框架在王吉看到分析结果之前定好，才有意义。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Sources: [GRADE guidelines 28 (Foroutan et al., J Clin Epidemiol 2020), publication record](https://researchconnect.buffalo.edu/en/publications/grade-guidelines-28-use-of-grade-for-the-assessment-of-evidence-a/); [GRADE Working Group blog summary of the paper](https://usblog.gradeworkinggroup.org/2020/06/research-shorts-use-of-grade-for.html)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GRADE 可信度框架 v2026-10-25a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2026-10-25T07:54:08.809Z</dcterms:created>
  <dcterms:modified xsi:type="dcterms:W3CDTF">2026-10-25T07:54:08.809Z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