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 is described</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Splenic loss was associated with delay rather than with operative technique;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Wandering spleen was defined as an abnormally mobile spleen displaced from its normal fossa on ultrasonography or computed tomography, with or without pedicle torsion.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he remains well 5 months later.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the interval between the first symptomatic episode and definitive surgery, not with the operative technique.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requires no prosthetic material and no retroperitoneal dissection, and, unlike mesh or pouch fixation, does not depend on the spleen fitting within a wrap or pocket - a property that should in principle extend to the enlarged spleen, although this remains untested (see below).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two limitations. First, the association between delay and splenic loss is descriptive rather than causal: the cohort comprised only children who ultimately underwent splenic surgery, excluding any diagnosed but never operated on, and with five patients and no statistical comparison, confounding cannot be excluded. Second,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splenic loss was more often associated with delay than with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(Lond)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2026-09-21T13:53:37.856Z</dcterms:created>
  <dcterms:modified xsi:type="dcterms:W3CDTF">2026-09-21T13:53:37.857Z</dcterms:modified>
</cp:coreProperties>
</file>

<file path=docProps/custom.xml><?xml version="1.0" encoding="utf-8"?>
<Properties xmlns="http://schemas.openxmlformats.org/officeDocument/2006/custom-properties" xmlns:vt="http://schemas.openxmlformats.org/officeDocument/2006/docPropsVTypes"/>
</file>