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 is described</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in one, an episode a week earlier had been treated elsewhere as acute gastritis.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was associated with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was associated with the delay between the first symptomatic episode and definitive surgery, not with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preserved the spleen in a separate patient, developed in response to an earlier capsular-splenopexy failure.</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 8].</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[9].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10]. Several splenopexy techniques have been described — wrapping the spleen in absorbable or synthetic mesh, constructing a retroperitoneal or subperitoneal pouch, suturing the splenic capsule to the diaphragm and abdominal wall, or a sutureless button-and-hole fixation — but each has recognised limitations, and failures are reported [11-14].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Wandering spleen was defined as an abnormally mobile spleen displaced from its normal left-upper-quadrant fossa on ultrasonography or computed tomography, with or without torsion of the vascular pedicle.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(Fig. 1),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 He remains well at the most recent follow-up, 5 months after operation.</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splenic loss was associated with delay rather than with any deficiency of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and the route to that delay was different — diagnostic rather than a deferred decision to operate: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This does not indicate that the underlying problem has resolved.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reflected in larger multicentre and pooled-review experience [3, 12].</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We hypothesize that the explanation is temporal: reactive thrombocytosis requires a period of functional asplenia long enough for the marrow to respond, and therefore marks a subacute or chronic course rather than infarction itself, whereas in hyperacute torsion such an interval has not yet elapsed.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should be sought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because the spleen cannot be enclosed and laparoscopic working space is limited; synthetic material also carries risks of infection and foreign-body reaction [11, 12, 17]. Construction of a retroperitoneal or subperitoneal pouch, by balloon dilatation, saline injection or blunt dissection, is the other widely used approach [13, 18-20]. It too depends on the spleen fitting, and compression within a pouch that is too small has been reported to cause ischaemia and infarction. Where the pouch cannot be made large enough, surgeons have resorted to splenectomy, as illustrated by Case 3 below.</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and, unlike mesh or pouch fixation, does not depend on the spleen fitting within a wrap or pocket — a property that should in principle extend to the enlarged spleen, although this remains to be confirmed (see below). A comparable rationale underlies the sutureless button-and-hole method, which likewise avoids reliance on the capsule alone [14].</w:t>
      </w:r>
    </w:p>
    <w:p>
      <w:pPr>
        <w:spacing w:after="120" w:line="360"/>
        <w:jc w:val="both"/>
      </w:pPr>
      <w:r>
        <w:rPr>
          <w:rFonts w:ascii="Times New Roman" w:cs="Times New Roman" w:eastAsia="Times New Roman" w:hAnsi="Times New Roman"/>
          <w:sz w:val="22"/>
          <w:szCs w:val="22"/>
        </w:rPr>
        <w:t xml:space="preserve">These conclusions must be qualified. The association between delay and splenic loss described here is descriptive, not causal: the cohort comprised only children who ultimately underwent splenic surgery, so children diagnosed with wandering spleen who never came to operation are not represented, and with five patients and no statistical comparison, confounding by factors other than delay itself cannot be excluded. The technique, separately, was used in one patient and followed for 13 months, so this is a preliminary technical description and not a validated standard. The series is small, retrospective and from a single centre.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splenic loss was associated with delay in reaching definitive surgery rather than with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(Lond) 50:10–13</w:t>
      </w:r>
    </w:p>
    <w:p>
      <w:pPr>
        <w:spacing w:after="80" w:line="300"/>
        <w:ind w:left="420" w:hanging="420"/>
        <w:jc w:val="both"/>
      </w:pPr>
      <w:r>
        <w:rPr>
          <w:rFonts w:ascii="Times New Roman" w:cs="Times New Roman" w:eastAsia="Times New Roman" w:hAnsi="Times New Roman"/>
          <w:sz w:val="18"/>
          <w:szCs w:val="18"/>
        </w:rPr>
        <w:t xml:space="preserve">8.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9.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10.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11.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12.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13.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14.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34385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Coronal CT in Case 5, showing a whirl sign formed by the twisted splenic vessels encircling the splenic flexure of the colon, with the spleen displaced into the pelvis.</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aa69f9180cebb8c00b59c6572fec69644b5393b.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2026-09-22T02:54:24.050Z</dcterms:created>
  <dcterms:modified xsi:type="dcterms:W3CDTF">2026-09-22T02:54:24.061Z</dcterms:modified>
</cp:coreProperties>
</file>

<file path=docProps/custom.xml><?xml version="1.0" encoding="utf-8"?>
<Properties xmlns="http://schemas.openxmlformats.org/officeDocument/2006/custom-properties" xmlns:vt="http://schemas.openxmlformats.org/officeDocument/2006/docPropsVTypes"/>
</file>