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  <w:jc w:val="center"/>
      </w:pPr>
      <w:r>
        <w:rPr>
          <w:rFonts w:ascii="Calibri" w:cs="Calibri" w:eastAsia="Microsoft YaHei" w:hAnsi="Calibri"/>
          <w:b/>
          <w:bCs/>
          <w:color w:val="1F3A5F"/>
          <w:sz w:val="48"/>
          <w:szCs w:val="48"/>
        </w:rPr>
        <w:t xml:space="preserve">GRADE 证据可信度：描述框架</w:t>
      </w:r>
    </w:p>
    <w:p>
      <w:pPr>
        <w:spacing w:after="360"/>
        <w:jc w:val="center"/>
      </w:pPr>
      <w:r>
        <w:rPr>
          <w:rFonts w:ascii="Calibri" w:cs="Calibri" w:eastAsia="Microsoft YaHei" w:hAnsi="Calibri"/>
          <w:color w:val="555555"/>
          <w:sz w:val="26"/>
          <w:szCs w:val="26"/>
        </w:rPr>
        <w:t xml:space="preserve">版本 v2026-10-25b（草稿）。适用：协议 v1.8 第 16 节（"Certainty will be described with GRADE principles; evidence drawn from case reports and series is expected to be of very low certainty"）。**规则在看到任何真实结局分析结果之前定好；结果出来后只往里填，不依结果改规则。**</w:t>
      </w: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状态：</w:t>
      </w:r>
      <w:r>
        <w:rPr>
          <w:rFonts w:ascii="Calibri" w:cs="Calibri" w:eastAsia="Microsoft YaHei" w:hAnsi="Calibri"/>
        </w:rPr>
        <w:t xml:space="preserve"> 本版按王吉 2026-10-25 的统计复核记录（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analysis/jiwang_2026-10-25/统计决定与GRADE回复.md</w:t>
      </w:r>
      <w:r>
        <w:rPr>
          <w:rFonts w:ascii="Calibri" w:cs="Calibri" w:eastAsia="Microsoft YaHei" w:hAnsi="Calibri"/>
        </w:rPr>
        <w:t xml:space="preserve">）改写，取代 v2026-10-25a 中 Claude 暂定的机械门槛。作者报告：王吉已书面确认较窄的声明，并亲自看过、认可该记录。下面的数字（例如每翻倍比值比 0.80–1.25）是</w:t>
      </w:r>
      <w:r>
        <w:rPr>
          <w:rFonts w:ascii="Calibri" w:cs="Calibri" w:eastAsia="Microsoft YaHei" w:hAnsi="Calibri"/>
          <w:b/>
          <w:bCs/>
        </w:rPr>
        <w:t xml:space="preserve">本项目的事前约定，不是 GRADE 官方通用门槛，也不是经临床验证的最小重要差异</w:t>
      </w:r>
      <w:r>
        <w:rPr>
          <w:rFonts w:ascii="Calibri" w:cs="Calibri" w:eastAsia="Microsoft YaHei" w:hAnsi="Calibri"/>
        </w:rPr>
        <w:t xml:space="preserve">。GRADE 指南第 28 篇只读过作者摘要，全文入口返回 403，没有读到全文，不能说这些规则出自该文。没有任何研究结果，最终可信度一栏留空。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1. 要评几个结论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"/>
        <w:gridCol w:w="3069"/>
        <w:gridCol w:w="5415"/>
      </w:tblGrid>
      <w:tr>
        <w:trPr>
          <w:cantSplit/>
          <w:tblHeader/>
        </w:trPr>
        <w:tc>
          <w:tcPr>
            <w:tcW w:type="dxa" w:w="5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序号</w:t>
            </w:r>
          </w:p>
        </w:tc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结论</w:t>
            </w:r>
          </w:p>
        </w:tc>
        <w:tc>
          <w:tcPr>
            <w:tcW w:type="dxa" w:w="54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5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指数发作持续时间（每翻一倍）与手术时脾脏无活力的关联</w:t>
            </w:r>
          </w:p>
        </w:tc>
        <w:tc>
          <w:tcPr>
            <w:tcW w:type="dxa" w:w="54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主要结论，做完整五领域评级。只评价关联，不据此宣称缩短等待时间可因果性提高保脾率</w:t>
            </w:r>
          </w:p>
        </w:tc>
      </w:tr>
      <w:tr>
        <w:trPr>
          <w:cantSplit/>
          <w:tblHeader w:val="false"/>
        </w:trPr>
        <w:tc>
          <w:tcPr>
            <w:tcW w:type="dxa" w:w="5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已知诊断而推迟手术的儿童等待期间发生扭转的比例</w:t>
            </w:r>
          </w:p>
        </w:tc>
        <w:tc>
          <w:tcPr>
            <w:tcW w:type="dxa" w:w="54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次要，单一比例，另列描述性证据局限，不套用预后因素关联的起点直接评级</w:t>
            </w:r>
          </w:p>
        </w:tc>
      </w:tr>
      <w:tr>
        <w:trPr>
          <w:cantSplit/>
          <w:tblHeader w:val="false"/>
        </w:trPr>
        <w:tc>
          <w:tcPr>
            <w:tcW w:type="dxa" w:w="5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次要暴露（总病程、漏诊、推迟手术、血小板增多）与无活力的关联</w:t>
            </w:r>
          </w:p>
        </w:tc>
        <w:tc>
          <w:tcPr>
            <w:tcW w:type="dxa" w:w="54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逐项简述证据局限；若成为摘要或结论中的关键主张，须补做独立完整评级，不借用主要结论的等级</w:t>
            </w:r>
          </w:p>
        </w:tc>
      </w:tr>
    </w:tbl>
    <w:p>
      <w:pPr>
        <w:spacing w:after="120"/>
      </w:pP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2. 起点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主要问题是持续时间与结局的关联，按预后因素研究处理。据 GRADE 指南第 28 篇的作者摘要，预后观察性证据</w:t>
      </w:r>
      <w:r>
        <w:rPr>
          <w:rFonts w:ascii="Calibri" w:cs="Calibri" w:eastAsia="Microsoft YaHei" w:hAnsi="Calibri"/>
          <w:b/>
          <w:bCs/>
        </w:rPr>
        <w:t xml:space="preserve">从高起步</w:t>
      </w:r>
      <w:r>
        <w:rPr>
          <w:rFonts w:ascii="Calibri" w:cs="Calibri" w:eastAsia="Microsoft YaHei" w:hAnsi="Calibri"/>
        </w:rPr>
        <w:t xml:space="preserve">。本项目采用高起点。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高只是起点，不是最终评级；病例报告的个体数据与前瞻性预后队列有明显区别，这一差别在间接性、选择偏倚和混杂中评价，不在起点处预先扣级。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总规则：每个领域最多降 2 级；同一问题原则上只在最直接的领域扣级，并记录交叉影响，不重复惩罚；总等级最低为极低。评级由团队记录依据、患者权重和分歧，</w:t>
      </w:r>
      <w:r>
        <w:rPr>
          <w:rFonts w:ascii="Calibri" w:cs="Calibri" w:eastAsia="Microsoft YaHei" w:hAnsi="Calibri"/>
          <w:b/>
          <w:bCs/>
        </w:rPr>
        <w:t xml:space="preserve">不由脚本自动算分</w:t>
      </w:r>
      <w:r>
        <w:rPr>
          <w:rFonts w:ascii="Calibri" w:cs="Calibri" w:eastAsia="Microsoft YaHei" w:hAnsi="Calibri"/>
        </w:rPr>
        <w:t xml:space="preserve">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3. 五个降级领域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4"/>
        <w:gridCol w:w="4694"/>
        <w:gridCol w:w="3068"/>
      </w:tblGrid>
      <w:tr>
        <w:trPr>
          <w:cantSplit/>
          <w:tblHeader/>
        </w:trPr>
        <w:tc>
          <w:tcPr>
            <w:tcW w:type="dxa" w:w="12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领域</w:t>
            </w:r>
          </w:p>
        </w:tc>
        <w:tc>
          <w:tcPr>
            <w:tcW w:type="dxa" w:w="46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事前规则</w:t>
            </w:r>
          </w:p>
        </w:tc>
        <w:tc>
          <w:tcPr>
            <w:tcW w:type="dxa" w:w="30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数据来源</w:t>
            </w:r>
          </w:p>
        </w:tc>
      </w:tr>
      <w:tr>
        <w:trPr>
          <w:cantSplit/>
          <w:tblHeader w:val="false"/>
        </w:trPr>
        <w:tc>
          <w:tcPr>
            <w:tcW w:type="dxa" w:w="12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偏倚风险</w:t>
            </w:r>
          </w:p>
        </w:tc>
        <w:tc>
          <w:tcPr>
            <w:tcW w:type="dxa" w:w="46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偏倚风险表 adequate 的患者比例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只作描述，不决定等级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。判断选择入组、时间与结局测量、缺失、重复和混杂是否可能实质改变关联：存在实质问题降 1 级；问题普遍、足以使关联方向或大小不可信降 2 级。病例是否进入文献与其结局相关、仅调整年龄和时期无法控制病情严重度，须单列。不得调整明确位于因果通路上的因素来"消除"偏倚</w:t>
            </w:r>
          </w:p>
        </w:tc>
        <w:tc>
          <w:tcPr>
            <w:tcW w:type="dxa" w:w="30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rob.csv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、偏倚风险分歧清单、敏感性分析 5</w:t>
            </w:r>
          </w:p>
        </w:tc>
      </w:tr>
      <w:tr>
        <w:trPr>
          <w:cantSplit/>
          <w:tblHeader w:val="false"/>
        </w:trPr>
        <w:tc>
          <w:tcPr>
            <w:tcW w:type="dxa" w:w="12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不一致</w:t>
            </w:r>
          </w:p>
        </w:tc>
        <w:tc>
          <w:tcPr>
            <w:tcW w:type="dxa" w:w="46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随机截距方差描述基线风险差异，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不是持续时间斜率的异质性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，不据此判断。按预定亚组及逐一剔除大系列，观察方向与大小，兼顾区间重叠和样本不稳定性。无法由偏倚或精度解释的实质差异降 1 级；强烈相反且无法解释降 2 级。单例报告不能各自估计效应，异质性无法可靠评价时如实说明，不把"未发现差异"当作一致的证据。敏感性分析 1 和 6 分别是剔除本院和中文报告，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不等于逐一剔除大系列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，需另做</w:t>
            </w:r>
          </w:p>
        </w:tc>
        <w:tc>
          <w:tcPr>
            <w:tcW w:type="dxa" w:w="30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主要分析、预定亚组、敏感性分析、附加分析</w:t>
            </w:r>
          </w:p>
        </w:tc>
      </w:tr>
      <w:tr>
        <w:trPr>
          <w:cantSplit/>
          <w:tblHeader w:val="false"/>
        </w:trPr>
        <w:tc>
          <w:tcPr>
            <w:tcW w:type="dxa" w:w="12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间接性</w:t>
            </w:r>
          </w:p>
        </w:tc>
        <w:tc>
          <w:tcPr>
            <w:tcW w:type="dxa" w:w="46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目标是术中或组织学活力。影像推断违反提取规则，应先纠正或设为缺失，不能用降级来掩盖违规。大量患者只有到入院的时长而无到手术的时长，或目标人群与实际入组有实质差别，降 1 级；极严重不匹配降 2 级。若结论严格限定于接受手术者，不因这一定义本身重复扣级</w:t>
            </w:r>
          </w:p>
        </w:tc>
        <w:tc>
          <w:tcPr>
            <w:tcW w:type="dxa" w:w="30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附加分析（去掉下限时长）、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viab_basis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idx_dur_lower_bound</w:t>
            </w:r>
          </w:p>
        </w:tc>
      </w:tr>
      <w:tr>
        <w:trPr>
          <w:cantSplit/>
          <w:tblHeader w:val="false"/>
        </w:trPr>
        <w:tc>
          <w:tcPr>
            <w:tcW w:type="dxa" w:w="12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不精确</w:t>
            </w:r>
          </w:p>
        </w:tc>
        <w:tc>
          <w:tcPr>
            <w:tcW w:type="dxa" w:w="46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不作治疗决策阈值推断。项目预设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每翻倍比值比 0.80–1.25 为"接近无关联"的解释区间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（团队约定）。95% 置信区间落在一个解释区（明显负关联、接近无关联、明显正关联）内，且估计稳健：不因跨 1 自动降级；跨一个边界降 1 级；同时覆盖 &lt;0.80 和 &gt;1.25 降 2 级。再结合有效聚类数、稀疏事件、分离和区间可靠性解释，领域累计最多 2 级。另展示其他解释阈值的敏感性，不依真实结果调换预设阈值。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至少 40 个事件对应样条的 4 个自由度只是样条可拟合条件，不是不精确降级标准</w:t>
            </w:r>
          </w:p>
        </w:tc>
        <w:tc>
          <w:tcPr>
            <w:tcW w:type="dxa" w:w="30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主分析比值比和 95% 置信区间、有效聚类数、事件数</w:t>
            </w:r>
          </w:p>
        </w:tc>
      </w:tr>
      <w:tr>
        <w:trPr>
          <w:cantSplit/>
          <w:tblHeader w:val="false"/>
        </w:trPr>
        <w:tc>
          <w:tcPr>
            <w:tcW w:type="dxa" w:w="12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发表偏倚</w:t>
            </w:r>
          </w:p>
        </w:tc>
        <w:tc>
          <w:tcPr>
            <w:tcW w:type="dxa" w:w="46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按协议对比单例报告与至少 3 例且 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consecutive = Yes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的连续系列，记录持续时间、结局缺失。差异本身不能证明发表偏倚。有可信的选择性发表或选择性报告依据降 1 级，强且多方面依据降 2 级；不因"只有病例报告"这一标签自动再降。没有漏斗图不能解释为没有发表偏倚</w:t>
            </w:r>
          </w:p>
        </w:tc>
        <w:tc>
          <w:tcPr>
            <w:tcW w:type="dxa" w:w="30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报告类型比较；缺失时长（按类别界限）和缺失结局（界限）的分析</w:t>
            </w:r>
          </w:p>
        </w:tc>
      </w:tr>
    </w:tbl>
    <w:p>
      <w:pPr>
        <w:spacing w:after="120"/>
      </w:pP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4. 上调</w:t>
      </w:r>
    </w:p>
    <w:p>
      <w:pPr>
        <w:spacing w:after="120"/>
      </w:pPr>
      <w:r>
        <w:rPr>
          <w:rFonts w:ascii="Calibri" w:cs="Calibri" w:eastAsia="Microsoft YaHei" w:hAnsi="Calibri"/>
        </w:rPr>
        <w:t xml:space="preserve">本项目对主要关联</w:t>
      </w:r>
      <w:r>
        <w:rPr>
          <w:rFonts w:ascii="Calibri" w:cs="Calibri" w:eastAsia="Microsoft YaHei" w:hAnsi="Calibri"/>
          <w:b/>
          <w:bCs/>
        </w:rPr>
        <w:t xml:space="preserve">预设不上调</w:t>
      </w:r>
      <w:r>
        <w:rPr>
          <w:rFonts w:ascii="Calibri" w:cs="Calibri" w:eastAsia="Microsoft YaHei" w:hAnsi="Calibri"/>
        </w:rPr>
        <w:t xml:space="preserve">：不因效应大小、类别趋势检验或未经论证的混杂方向而上调。理由：比值比不是风险比，大小依赖持续时间的尺度；趋势检验与主要持续时间关联高度重叠，且未按报告聚类、未校正混杂。若日后确有足以改变规则的方法学依据，以有日期的方案修订记录披露，不追溯声称事前设定。高起点不允许超过高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5. 证据概要表（空表，结果出来后填）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083"/>
        <w:gridCol w:w="1083"/>
        <w:gridCol w:w="1444"/>
        <w:gridCol w:w="3611"/>
      </w:tblGrid>
      <w:tr>
        <w:trPr>
          <w:cantSplit/>
          <w:tblHeader/>
        </w:trPr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结论</w:t>
            </w:r>
          </w:p>
        </w:tc>
        <w:tc>
          <w:tcPr>
            <w:tcW w:type="dxa" w:w="10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患者数（报告数）</w:t>
            </w:r>
          </w:p>
        </w:tc>
        <w:tc>
          <w:tcPr>
            <w:tcW w:type="dxa" w:w="10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效应（95% CI）</w:t>
            </w:r>
          </w:p>
        </w:tc>
        <w:tc>
          <w:tcPr>
            <w:tcW w:type="dxa" w:w="14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可信度</w:t>
            </w:r>
          </w:p>
        </w:tc>
        <w:tc>
          <w:tcPr>
            <w:tcW w:type="dxa" w:w="36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降级原因及患者权重</w:t>
            </w:r>
          </w:p>
        </w:tc>
      </w:tr>
      <w:tr>
        <w:trPr>
          <w:cantSplit/>
          <w:tblHeader w:val="false"/>
        </w:trPr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持续时间每翻一倍与脾脏无活力的比值比</w:t>
            </w:r>
          </w:p>
        </w:tc>
        <w:tc>
          <w:tcPr>
            <w:tcW w:type="dxa" w:w="10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[待填]</w:t>
            </w:r>
          </w:p>
        </w:tc>
        <w:tc>
          <w:tcPr>
            <w:tcW w:type="dxa" w:w="10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[待填]</w:t>
            </w:r>
          </w:p>
        </w:tc>
        <w:tc>
          <w:tcPr>
            <w:tcW w:type="dxa" w:w="14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[待填]</w:t>
            </w:r>
          </w:p>
        </w:tc>
        <w:tc>
          <w:tcPr>
            <w:tcW w:type="dxa" w:w="36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[待填]</w:t>
            </w:r>
          </w:p>
        </w:tc>
      </w:tr>
      <w:tr>
        <w:trPr>
          <w:cantSplit/>
          <w:tblHeader w:val="false"/>
        </w:trPr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等待手术期间扭转的比例（描述）</w:t>
            </w:r>
          </w:p>
        </w:tc>
        <w:tc>
          <w:tcPr>
            <w:tcW w:type="dxa" w:w="10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[待填]</w:t>
            </w:r>
          </w:p>
        </w:tc>
        <w:tc>
          <w:tcPr>
            <w:tcW w:type="dxa" w:w="10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[待填]</w:t>
            </w:r>
          </w:p>
        </w:tc>
        <w:tc>
          <w:tcPr>
            <w:tcW w:type="dxa" w:w="14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不套用</w:t>
            </w:r>
          </w:p>
        </w:tc>
        <w:tc>
          <w:tcPr>
            <w:tcW w:type="dxa" w:w="36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[待填]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Microsoft YaHei" w:hAnsi="Calibri"/>
        </w:rPr>
        <w:t xml:space="preserve">可信度一栏只填：高 / 中 / 低 / 极低，没有分析结果前不填。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6. 稿件里怎么写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方法（窄表述）："Analysis specifications and the operational rules for assessing certainty were finalized before the present statistical review accessed any real patient-level outcome data or fitted models to the real data. Code verification used synthetic data only."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方法：说明按预后因素的 GRADE 原则、起点为高、五个领域；未因观察到的比值比或趋势检验自动上调；协方差为按报告聚类的稳健协方差，小样本因子 G/(G−1)×(N−1)/(N−K)，置信区间为基于正态分布的 Wald 区间。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更强的"before Ji Wang had access to any real outcome data"这一说法，只有王吉本人另行确认才可使用；协议已披露预试验和本院 5 例中 4 例失脾，因此不能说团队从未接触结局信息。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结果：证据概要表 + 一段说明每个降级领域的依据。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讨论和局限性：不论方向都写——数据来自病例报告和小系列，选择性报告和未校正混杂限制因果解释；可信度预期为低至极低。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规则表作为附加文件，与检索策略、提取表一起提供。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7. 没有核实的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GRADE 指南第 28 篇和手册全文没有读过；规则的具体门槛为本项目约定。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每翻倍 0.80–1.25 是团队约定，不是临床验证的最小重要差异。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单例报告占多数时，不一致和发表偏倚领域可能无法可靠评价，如实说明。</w:t>
      </w:r>
    </w:p>
    <w:p>
      <w:pPr>
        <w:spacing w:after="120"/>
      </w:pPr>
      <w:r>
        <w:rPr>
          <w:rFonts w:ascii="Calibri" w:cs="Calibri" w:eastAsia="Microsoft YaHei" w:hAnsi="Calibri"/>
        </w:rPr>
        <w:t xml:space="preserve">Sources: [GRADE guidelines 28 (Foroutan et al., J Clin Epidemiol 2020;121:62-70), author abstract](https://pubmed.ncbi.nlm.nih.gov/31982539/)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YaHei" w:hAnsi="Calibri"/>
        <w:color w:val="777777"/>
        <w:sz w:val="17"/>
        <w:szCs w:val="17"/>
      </w:rPr>
      <w:t xml:space="preserve">GRADE 可信度框架 v2026-10-25b   |   第 </w:t>
    </w:r>
    <w:r>
      <w:rPr>
        <w:rFonts w:ascii="Calibri" w:cs="Calibri" w:eastAsia="Microsoft YaHei" w:hAnsi="Calibri"/>
        <w:color w:val="777777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Microsoft YaHei" w:hAnsi="Calibri"/>
        <w:color w:val="777777"/>
        <w:sz w:val="17"/>
        <w:szCs w:val="17"/>
      </w:rPr>
      <w:t xml:space="preserve"> 页 / 共 </w:t>
    </w:r>
    <w:r>
      <w:rPr>
        <w:rFonts w:ascii="Calibri" w:cs="Calibri" w:eastAsia="Microsoft YaHei" w:hAnsi="Calibri"/>
        <w:color w:val="777777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Microsoft YaHei" w:hAnsi="Calibri"/>
        <w:color w:val="777777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  <w:lvl w:ilvl="1" w15:tentative="1">
      <w:start w:val="1"/>
      <w:numFmt w:val="decimal"/>
      <w:lvlText w:val="%2.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Microsoft YaHe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Microsoft YaHe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Microsoft YaHe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筛选操作手册</dc:title>
  <dc:creator>Wandering spleen review team</dc:creator>
  <cp:lastModifiedBy>Un-named</cp:lastModifiedBy>
  <cp:revision>1</cp:revision>
  <dcterms:created xsi:type="dcterms:W3CDTF">2026-10-25T14:36:37.753Z</dcterms:created>
  <dcterms:modified xsi:type="dcterms:W3CDTF">2026-10-25T14:36:37.760Z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