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delay determines splenic loss and a reinforced two-pole splenopexy technique</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and one had been treated as acute gastritis elsewhere a week before presentation.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followed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tracked the delay between the first symptomatic episode and definitive surgery rather than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salvaged a spleen after a capsular splenopexy had failed.</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[3,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[8].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9]. Several splenopexy techniques have been described — wrapping the spleen in absorbable or synthetic mesh, constructing a retroperitoneal or subperitoneal pouch, and suturing the splenic capsule to the diaphragm and abdominal wall — but each has recognised limitations, and failures are reported [10-13].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(Fig. 1).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The central observation of this series is that splenic loss tracked delay rather than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but the mechanism was the same: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That resolution is not evidence of a resolved problem.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reached from larger multicentre experience [3, 14].</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The most plausible explanation is temporal. Reactive thrombocytosis requires a period of functional asplenia long enough for the marrow to respond, and therefore marks a subacute or chronic course rather than infarction itself; in hyperacute torsion no such interval exists.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is worth seeking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both because the spleen cannot be enclosed and because laparoscopic working space is limited; synthetic material also carries risks of infection and foreign-body reaction [10, 11, 17]. Construction of a retroperitoneal or subperitoneal pouch, by balloon dilatation, saline injection or blunt dissection, is the other widely used approach [12, 18-20]. It too depends on the spleen fitting, and compression within a pouch that is too small has been reported to cause ischaemia and infarction. Where the pouch cannot be made large enough, surgeons have resorted to splenectomy [15].</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adds little operative time, and is in principle independent of splenic size — the properties that mesh and pouch techniques lack when the spleen is large or a previous fixation has failed. A comparable rationale underlies the sutureless button-and-hole method, which likewise avoids reliance on the capsule alone [13].</w:t>
      </w:r>
    </w:p>
    <w:p>
      <w:pPr>
        <w:spacing w:after="120" w:line="360"/>
        <w:jc w:val="both"/>
      </w:pPr>
      <w:r>
        <w:rPr>
          <w:rFonts w:ascii="Times New Roman" w:cs="Times New Roman" w:eastAsia="Times New Roman" w:hAnsi="Times New Roman"/>
          <w:sz w:val="22"/>
          <w:szCs w:val="22"/>
        </w:rPr>
        <w:t xml:space="preserve">These conclusions must be qualified. The technique was used in one patient and followed for 13 months, so this is a preliminary technical description and not a validated standard. The series is small, retrospective and from a single centre, and selection bias cannot be excluded.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the spleen was lost to delay rather than to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50:10–13</w:t>
      </w:r>
    </w:p>
    <w:p>
      <w:pPr>
        <w:spacing w:after="80" w:line="300"/>
        <w:ind w:left="420" w:hanging="420"/>
        <w:jc w:val="both"/>
      </w:pPr>
      <w:r>
        <w:rPr>
          <w:rFonts w:ascii="Times New Roman" w:cs="Times New Roman" w:eastAsia="Times New Roman" w:hAnsi="Times New Roman"/>
          <w:sz w:val="18"/>
          <w:szCs w:val="18"/>
        </w:rPr>
        <w:t xml:space="preserve">8.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9.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10.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11.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12.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13.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14.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45243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CT at the second presentation of Case 2, nineteen months after the first, showing a wandering spleen with pedicle torsion and established splenic infarction (white star).</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876aad083755fbb89d035cae54a353815319b7.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2026-09-21T11:57:02.211Z</dcterms:created>
  <dcterms:modified xsi:type="dcterms:W3CDTF">2026-09-21T11:57:02.225Z</dcterms:modified>
</cp:coreProperties>
</file>

<file path=docProps/custom.xml><?xml version="1.0" encoding="utf-8"?>
<Properties xmlns="http://schemas.openxmlformats.org/officeDocument/2006/custom-properties" xmlns:vt="http://schemas.openxmlformats.org/officeDocument/2006/docPropsVTypes"/>
</file>