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日。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之一。Rayyan 没有预先设置的步骤：排除理由和标签都是在筛选时、打开一条记录后点决定栏里的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，输入名称并应用，之后就保存在项目的列表里。</w:t>
      </w:r>
      <w:r>
        <w:rPr>
          <w:rFonts w:ascii="Calibri" w:cs="Calibri" w:eastAsia="Microsoft YaHei" w:hAnsi="Calibri"/>
          <w:b/>
          <w:bCs/>
        </w:rPr>
        <w:t xml:space="preserve">第一个创建的人按下面的名称一字不差地输入，另一位从列表里选，不要自己再打一遍</w:t>
      </w:r>
      <w:r>
        <w:rPr>
          <w:rFonts w:ascii="Calibri" w:cs="Calibri" w:eastAsia="Microsoft YaHei" w:hAnsi="Calibri"/>
        </w:rPr>
        <w:t xml:space="preserve">（据 Rayyan 帮助中心搜索结果的说明；帮助页本身在我们的环境里打不开，细节以校准时的实际界面为准）。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只看标题。标题明显无关则 Exclude（选相应理由）；标题可能相关则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（具体说明写在备注里，是否有备注功能请在校准时确认；没有的话改为在名称里直接写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 - 一句话说明</w:t>
      </w:r>
      <w:r>
        <w:rPr>
          <w:rFonts w:ascii="Calibri" w:cs="Calibri" w:eastAsia="Microsoft YaHei" w:hAnsi="Calibri"/>
        </w:rPr>
        <w:t xml:space="preserve">，并在校准后统一）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Rayyan 里两人都筛完之后，打开冲突列表。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先讨论，达成一致后统一决定。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讨论不一致的，交杨军仲裁，仲裁结果记入备注。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记录分歧条数，PRISMA 和方法部分可以引用。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待作者决定的事项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：只有摘要的排除（E5），看起来是完整论文的按 Maybe 处理，是否同意？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条）：含临床病例资料的按 Maybe，全文再定，是否同意？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：一律 Maybe，由全文判断能否提取儿童个体数据，是否同意？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：引文追溯目前没有做，保留标签是为了以后补做的可能，是否需要？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kappa。标题摘要筛选阶段是否也报告？建议报告，以便读者评估。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：协议说明它们会被重新筛选，不预先放行，是否照此执行？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校准结束后，请把对本指南的修改记下来，并告诉我，我更新到文件里。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筛选指南（草稿）v2026-10-05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2026-10-05T01:14:17.134Z</dcterms:created>
  <dcterms:modified xsi:type="dcterms:W3CDTF">2026-10-05T01:14:17.146Z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