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0E5B6E"/>
          <w:spacing w:val="40"/>
          <w:sz w:val="18"/>
          <w:szCs w:val="18"/>
        </w:rPr>
        <w:t xml:space="preserve">标准操作规程 (SOP)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A1A1A"/>
          <w:sz w:val="44"/>
          <w:szCs w:val="44"/>
        </w:rPr>
        <w:t xml:space="preserve">纽扣电池直径测量</w:t>
      </w:r>
    </w:p>
    <w:p>
      <w:pPr>
        <w:spacing w:after="240" w:line="300"/>
      </w:pPr>
      <w:r>
        <w:rPr>
          <w:rFonts w:ascii="Microsoft YaHei" w:cs="Microsoft YaHei" w:eastAsia="Microsoft YaHei" w:hAnsi="Microsoft YaHei"/>
          <w:color w:val="4E5961"/>
          <w:sz w:val="24"/>
          <w:szCs w:val="24"/>
        </w:rPr>
        <w:t xml:space="preserve">在 PACS 的 DR 影像上恢复病历未记录的电池直径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2000"/>
        <w:gridCol w:w="2513"/>
        <w:gridCol w:w="2000"/>
        <w:gridCol w:w="2513"/>
      </w:tblGrid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文件编号</w:t>
            </w:r>
          </w:p>
        </w:tc>
        <w:tc>
          <w:tcPr>
            <w:tcW w:type="dxa" w:w="2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BB-SOP-01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版本</w:t>
            </w:r>
          </w:p>
        </w:tc>
        <w:tc>
          <w:tcPr>
            <w:tcW w:type="dxa" w:w="2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适用研究</w:t>
            </w:r>
          </w:p>
        </w:tc>
        <w:tc>
          <w:tcPr>
            <w:tcW w:type="dxa" w:w="2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已过食管纽扣电池是否必须急诊取出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编写</w:t>
            </w:r>
          </w:p>
        </w:tc>
        <w:tc>
          <w:tcPr>
            <w:tcW w:type="dxa" w:w="2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审核</w:t>
            </w:r>
          </w:p>
        </w:tc>
        <w:tc>
          <w:tcPr>
            <w:tcW w:type="dxa" w:w="2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</w:tbl>
    <w:p>
      <w:pPr>
        <w:spacing w:after="20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1　背景与目的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电池直径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≥20 mm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是文献中最强的风险因素（任何并发症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OR 4.34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），也是本研究风险分层算法（Fig 3）的一条分层线。但本队列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125 例中仅 2 例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病历记录了电池规格。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这个信息并没有丢失——它一直在已经拍过的腹平片里，只是从未有人从图像上读取。本规程的目的，就是把这个变量从影像中恢复出来。</w:t>
      </w:r>
    </w:p>
    <w:p>
      <w:pPr>
        <w:pBdr>
          <w:left w:val="single" w:color="A0480A" w:sz="18" w:space="8"/>
        </w:pBdr>
        <w:shd w:fill="FAEBDE" w:val="clear"/>
        <w:spacing w:after="0" w:before="160" w:line="280"/>
      </w:pPr>
      <w:r>
        <w:rPr>
          <w:rFonts w:ascii="Microsoft YaHei" w:cs="Microsoft YaHei" w:eastAsia="Microsoft YaHei" w:hAnsi="Microsoft YaHei"/>
          <w:b/>
          <w:bCs/>
          <w:color w:val="A0480A"/>
          <w:sz w:val="19"/>
          <w:szCs w:val="19"/>
        </w:rPr>
        <w:t xml:space="preserve">为什么必须校正放大</w:t>
      </w:r>
    </w:p>
    <w:p>
      <w:pPr>
        <w:pBdr>
          <w:left w:val="single" w:color="A0480A" w:sz="18" w:space="8"/>
        </w:pBdr>
        <w:shd w:fill="FAEBDE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投照为锥形束，电池在体内离探测器有距离，成像会放大约 1.1–1.2 倍。</w:t>
      </w:r>
    </w:p>
    <w:p>
      <w:pPr>
        <w:pBdr>
          <w:left w:val="single" w:color="A0480A" w:sz="18" w:space="8"/>
        </w:pBdr>
        <w:shd w:fill="FAEBDE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而分层阈值恰好是 20 mm：一枚真实 20 mm 的 CR2032 可能量出 22–24 mm，</w:t>
      </w:r>
    </w:p>
    <w:p>
      <w:pPr>
        <w:pBdr>
          <w:left w:val="single" w:color="A0480A" w:sz="18" w:space="8"/>
        </w:pBdr>
        <w:shd w:fill="FAEBDE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一枚 16 mm 的 CR1620 可能量出 18–19 mm。直接拿卡尺读数去卡 20 mm，</w:t>
      </w:r>
    </w:p>
    <w:p>
      <w:pPr>
        <w:pBdr>
          <w:left w:val="single" w:color="A0480A" w:sz="18" w:space="8"/>
        </w:pBdr>
        <w:shd w:fill="FAEBDE" w:val="clear"/>
        <w:spacing w:after="20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会系统性高估，把小电池误判为大电池——错在最关键的那条线上。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2　人员与盲法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角色</w:t>
            </w:r>
          </w:p>
        </w:tc>
        <w:tc>
          <w:tcPr>
            <w:tcW w:type="dxa" w:w="6726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测量者 A / B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2 名，各自独立完成测量，过程中不得知晓对方读数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盲法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测量时不得知晓该患儿的结局——有无黏膜损伤、是否接受内镜取出、住院天数。建议由第三方先行剥离结局字段后再交付影像清单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裁定者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1 名，仅在两名测量者分类不一致时介入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记录者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按第 7 节字段录入，不参与读数</w:t>
            </w:r>
          </w:p>
        </w:tc>
      </w:tr>
    </w:tbl>
    <w:p>
      <w:pPr>
        <w:pBdr>
          <w:left w:val="single" w:color="0E5B6E" w:sz="18" w:space="8"/>
        </w:pBdr>
        <w:shd w:fill="E0EDF1" w:val="clear"/>
        <w:spacing w:after="0" w:before="160" w:line="280"/>
      </w:pPr>
      <w:r>
        <w:rPr>
          <w:rFonts w:ascii="Microsoft YaHei" w:cs="Microsoft YaHei" w:eastAsia="Microsoft YaHei" w:hAnsi="Microsoft YaHei"/>
          <w:b/>
          <w:bCs/>
          <w:color w:val="0E5B6E"/>
          <w:sz w:val="19"/>
          <w:szCs w:val="19"/>
        </w:rPr>
        <w:t xml:space="preserve">盲法为什么重要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知道某个孩子后来有食管溃疡，会不自觉地把边缘读得大一些。</w:t>
      </w:r>
    </w:p>
    <w:p>
      <w:pPr>
        <w:pBdr>
          <w:left w:val="single" w:color="0E5B6E" w:sz="18" w:space="8"/>
        </w:pBdr>
        <w:shd w:fill="E0EDF1" w:val="clear"/>
        <w:spacing w:after="20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审稿人一定会问测量是否设盲，以及测量者间一致性（ICC）。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3　第一步：确认影像可测量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先做这一步，不要直接开始量。若整批影像缺少标定信息，测量无从谈起，应改走备选方案（第 8 节）。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导出若干份 DICOM 至同一目录，运行：</w:t>
      </w:r>
    </w:p>
    <w:p>
      <w:pPr>
        <w:shd w:fill="ECEFF1" w:val="clear"/>
        <w:spacing w:after="160" w:before="60" w:line="2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python3 scripts/dicom_calibration.py audit /path/to/dicom_dir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脚本逐文件报告三项，据此判断该片能否用于测量：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检查项</w:t>
            </w:r>
          </w:p>
        </w:tc>
        <w:tc>
          <w:tcPr>
            <w:tcW w:type="dxa" w:w="34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含义</w:t>
            </w:r>
          </w:p>
        </w:tc>
        <w:tc>
          <w:tcPr>
            <w:tcW w:type="dxa" w:w="3026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不合格时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像素间距（ImagerPixelSpacing）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每像素对应多少毫米，是卡尺换算的基础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该片不可测量，记为缺失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SID / SOD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球管到探测器 / 到物体的距离，用于算放大倍数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改用经验放大倍数，并按第 6 节判定是否为不确定病例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ImageType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若为 DERIVED / SECONDARY，说明图像可能已重采样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标定存疑，不得用于测量</w:t>
            </w:r>
          </w:p>
        </w:tc>
      </w:tr>
    </w:tbl>
    <w:p>
      <w:pPr>
        <w:pBdr>
          <w:left w:val="single" w:color="0E5B6E" w:sz="18" w:space="8"/>
        </w:pBdr>
        <w:shd w:fill="E0EDF1" w:val="clear"/>
        <w:spacing w:after="0" w:before="160" w:line="280"/>
      </w:pPr>
      <w:r>
        <w:rPr>
          <w:rFonts w:ascii="Microsoft YaHei" w:cs="Microsoft YaHei" w:eastAsia="Microsoft YaHei" w:hAnsi="Microsoft YaHei"/>
          <w:b/>
          <w:bCs/>
          <w:color w:val="0E5B6E"/>
          <w:sz w:val="19"/>
          <w:szCs w:val="19"/>
        </w:rPr>
        <w:t xml:space="preserve">不要忽略这一步的另一个收获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导出数据集中有 14 例标注“无 X 线片”，但那只说明本次导出里没有，</w:t>
      </w:r>
    </w:p>
    <w:p>
      <w:pPr>
        <w:pBdr>
          <w:left w:val="single" w:color="0E5B6E" w:sz="18" w:space="8"/>
        </w:pBdr>
        <w:shd w:fill="E0EDF1" w:val="clear"/>
        <w:spacing w:after="20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不代表 PACS 里没有。核查标定的同时请一并查这 14 例，很可能片子是在的。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4　第二步：在 PACS 中测量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调取该患儿的首次腹部平片（正位）。使用首次片，不要用复查片——研究定义的是就诊时的电池规格。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先确认这是电池而非硬币：正位可见双环征（double-halo）或台阶征，侧位可见斜面征（beveled edge）。若无法与硬币区分，记入待裁定。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使用 PACS 的测量/卡尺工具，沿圆盘直径拉一条线，软件会读取 DICOM 标定直接给出毫米数。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量外环（见下图）。双环征的外环是电池卷边外缘，那才是标称直径；内环偏小，量错会系统性低估。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同一枚电池量 3 次，取中位数，保留 2 位小数，记为“投影直径”。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若为多枚电池，逐枚测量并编号（#1、#2…），分别记录。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YaHei" w:cs="Microsoft YaHei" w:eastAsia="Microsoft YaHei" w:hAnsi="Microsoft YaHei"/>
          <w:color w:val="4E5961"/>
          <w:sz w:val="18"/>
          <w:szCs w:val="18"/>
        </w:rPr>
        <w:t xml:space="preserve">图 1　双环征的测量位置。卡尺应跨越外环全径；量内环会系统性低估约 3–5 mm，足以把一枚 20 mm 电池误判为 16 mm——恰好跨过分层线。</w:t>
      </w:r>
    </w:p>
    <w:p>
      <w:pPr>
        <w:pBdr>
          <w:left w:val="single" w:color="A0480A" w:sz="18" w:space="8"/>
        </w:pBdr>
        <w:shd w:fill="FAEBDE" w:val="clear"/>
        <w:spacing w:after="0" w:before="160" w:line="280"/>
      </w:pPr>
      <w:r>
        <w:rPr>
          <w:rFonts w:ascii="Microsoft YaHei" w:cs="Microsoft YaHei" w:eastAsia="Microsoft YaHei" w:hAnsi="Microsoft YaHei"/>
          <w:b/>
          <w:bCs/>
          <w:color w:val="A0480A"/>
          <w:sz w:val="19"/>
          <w:szCs w:val="19"/>
        </w:rPr>
        <w:t xml:space="preserve">这一步量到的是投影直径，不是真实直径</w:t>
      </w:r>
    </w:p>
    <w:p>
      <w:pPr>
        <w:pBdr>
          <w:left w:val="single" w:color="A0480A" w:sz="18" w:space="8"/>
        </w:pBdr>
        <w:shd w:fill="FAEBDE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PACS 给出的毫米数是探测器平面上的尺寸，仍包含放大。</w:t>
      </w:r>
    </w:p>
    <w:p>
      <w:pPr>
        <w:pBdr>
          <w:left w:val="single" w:color="A0480A" w:sz="18" w:space="8"/>
        </w:pBdr>
        <w:shd w:fill="FAEBDE" w:val="clear"/>
        <w:spacing w:after="20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不要直接把这个数填进“电池直径”字段，必须先做第 5 节的校正。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5　第三步：放大校正与规格吸附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B6E"/>
          <w:sz w:val="23"/>
          <w:szCs w:val="23"/>
        </w:rPr>
        <w:t xml:space="preserve">5.1　运行校正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以第 3 节 audit 输出中的 SID、SOD 代入：</w:t>
      </w:r>
    </w:p>
    <w:p>
      <w:pPr>
        <w:shd w:fill="ECEFF1" w:val="clear"/>
        <w:spacing w:after="60" w:before="60" w:line="2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python3 scripts/dicom_calibration.py size 22.70 --sid 1000 --sod 880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若 SOD 缺失，改用体表到探测器的估计距离（cm）：</w:t>
      </w:r>
    </w:p>
    <w:p>
      <w:pPr>
        <w:shd w:fill="ECEFF1" w:val="clear"/>
        <w:spacing w:after="160" w:before="60" w:line="2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python3 scripts/dicom_calibration.py size 22.70 --sid 1000 --odd 10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放大倍数 M = SID / SOD；真实直径 = 投影直径 / M。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B6E"/>
          <w:sz w:val="23"/>
          <w:szCs w:val="23"/>
        </w:rPr>
        <w:t xml:space="preserve">5.2　吸附到标准规格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纽扣电池的直径不是连续的，只有有限几档标准值。因此不需要测得非常精确，只需判断落在哪一档。脚本会自动完成吸附。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直径</w:t>
            </w:r>
          </w:p>
        </w:tc>
        <w:tc>
          <w:tcPr>
            <w:tcW w:type="dxa" w:w="32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常见型号</w:t>
            </w:r>
          </w:p>
        </w:tc>
        <w:tc>
          <w:tcPr>
            <w:tcW w:type="dxa" w:w="4026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12.5 mm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CR1216 / 1220 / 1225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小型锂电池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16.0 mm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CR1616 / 1620 / 1632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20.0 mm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CR2016 / 2025 / 2032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A0480A"/>
                <w:sz w:val="19"/>
                <w:szCs w:val="19"/>
              </w:rPr>
              <w:t xml:space="preserve">分层阈值所在档，最常见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23.0 mm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CR2320 / 2330 / 2354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24.5 mm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CR2430 / 2450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&lt; 12 mm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SR/LR 系列助听器、手表电池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4.8 / 5.8 / 6.8 / 7.9 / 9.5 / 11.6 mm</w:t>
            </w:r>
          </w:p>
        </w:tc>
      </w:tr>
    </w:tbl>
    <w:p>
      <w:pPr>
        <w:pBdr>
          <w:left w:val="single" w:color="0E5B6E" w:sz="18" w:space="8"/>
        </w:pBdr>
        <w:shd w:fill="E0EDF1" w:val="clear"/>
        <w:spacing w:after="0" w:before="160" w:line="280"/>
      </w:pPr>
      <w:r>
        <w:rPr>
          <w:rFonts w:ascii="Microsoft YaHei" w:cs="Microsoft YaHei" w:eastAsia="Microsoft YaHei" w:hAnsi="Microsoft YaHei"/>
          <w:b/>
          <w:bCs/>
          <w:color w:val="0E5B6E"/>
          <w:sz w:val="19"/>
          <w:szCs w:val="19"/>
        </w:rPr>
        <w:t xml:space="preserve">CR 型号的命名规则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前两位数字即直径（毫米），后两位为厚度（十分之一毫米）。</w:t>
      </w:r>
    </w:p>
    <w:p>
      <w:pPr>
        <w:pBdr>
          <w:left w:val="single" w:color="0E5B6E" w:sz="18" w:space="8"/>
        </w:pBdr>
        <w:shd w:fill="E0EDF1" w:val="clear"/>
        <w:spacing w:after="20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CR2032 = 直径 20 mm、厚 3.2 mm。若内镜取出后见到实物或型号，可直接据此登记，无需测量。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6　第四步：不确定病例的判定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脚本会在物体距探测器 5–20 cm 的合理范围内扫一遍放大倍数，看 ≥20 mm 这个分类是否稳定。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脚本输出</w:t>
            </w:r>
          </w:p>
        </w:tc>
        <w:tc>
          <w:tcPr>
            <w:tcW w:type="dxa" w:w="4513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处置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分类在整个范围内稳定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按该分类登记（≥20 mm 或 &lt;20 mm）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A0480A"/>
                <w:sz w:val="19"/>
                <w:szCs w:val="19"/>
              </w:rPr>
              <w:t xml:space="preserve">分类随放大倍数改变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A0480A"/>
                <w:sz w:val="19"/>
                <w:szCs w:val="19"/>
              </w:rPr>
              <w:t xml:space="preserve">登记为 indeterminate（不确定），不要强行给一个值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举例：投影读数 21.0 mm、SOD 未知时，物体距探测器 5 cm 则校正为 19.95 mm（吸附 20 mm），20 cm 则校正为 16.80 mm（吸附 16 mm）——同一个读数跨过了分层线。这类病例必须记为不确定。</w:t>
      </w:r>
    </w:p>
    <w:p>
      <w:pPr>
        <w:pBdr>
          <w:left w:val="single" w:color="0E5B6E" w:sz="18" w:space="8"/>
        </w:pBdr>
        <w:shd w:fill="E0EDF1" w:val="clear"/>
        <w:spacing w:after="0" w:before="160" w:line="280"/>
      </w:pPr>
      <w:r>
        <w:rPr>
          <w:rFonts w:ascii="Microsoft YaHei" w:cs="Microsoft YaHei" w:eastAsia="Microsoft YaHei" w:hAnsi="Microsoft YaHei"/>
          <w:b/>
          <w:bCs/>
          <w:color w:val="0E5B6E"/>
          <w:sz w:val="19"/>
          <w:szCs w:val="19"/>
        </w:rPr>
        <w:t xml:space="preserve">不确定不是失败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一批诚实标注的 indeterminate，写进敏感性分析，比假装每一例都测得准要经得起审稿。</w:t>
      </w:r>
    </w:p>
    <w:p>
      <w:pPr>
        <w:pBdr>
          <w:left w:val="single" w:color="0E5B6E" w:sz="18" w:space="8"/>
        </w:pBdr>
        <w:shd w:fill="E0EDF1" w:val="clear"/>
        <w:spacing w:after="20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分析时对这些病例分别按 ≥20 mm 和 &lt;20 mm 两种极端假设各跑一次，看结论是否改变。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7　数据记录字段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每枚电池一行。两名测量者各填一份，最后合并比对。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字段</w:t>
            </w:r>
          </w:p>
        </w:tc>
        <w:tc>
          <w:tcPr>
            <w:tcW w:type="dxa" w:w="15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类型</w:t>
            </w:r>
          </w:p>
        </w:tc>
        <w:tc>
          <w:tcPr>
            <w:tcW w:type="dxa" w:w="4926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科研就诊编号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整数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与主数据集对应，不要填住院号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battery_index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整数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同一患儿多枚时编号，单枚填 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reader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A / B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测量者标识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projected_mm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小数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PACS 卡尺读数（3 次中位），2 位小数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sid_mm / sod_mm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小数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取自 audit 输出，缺失留空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magnification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小数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脚本给出，或注明所用经验倍数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true_mm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小数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校正后真实直径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snapped_mm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小数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吸附后的标准规格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size_class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文本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≥20mm / &lt;20mm / indeterminate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image_usable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是 / 否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标定缺失或 DERIVED 则填否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note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文本</w:t>
            </w:r>
          </w:p>
        </w:tc>
        <w:tc>
          <w:tcPr>
            <w:tcW w:type="dxa" w:w="4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边缘不清、与硬币难辨、多枚重叠等情况在此说明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8　质量控制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两名测量者独立完成全部病例；若工作量过大，至少独立重复 30 例子集用于计算一致性。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计算测量者间组内相关系数（ICC）与分类一致率（Cohen κ）。ICC &lt; 0.75 应重新培训后重测。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分类不一致的病例交裁定者判定，裁定过程同样设盲。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定期抽查盲法是否被破坏（例如影像清单中混入了结局信息）。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测量结果不得回填进原始病历系统，仅用于研究数据集。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B6E"/>
          <w:sz w:val="23"/>
          <w:szCs w:val="23"/>
        </w:rPr>
        <w:t xml:space="preserve">8.1　备选方案：标定缺失时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若 audit 显示整批影像无像素间距，改用同层椎体宽度作内参：在同一张片、与电池大致同深度处测量椎体横径，以该儿童年龄段椎体宽度的参考值换算比例。此法误差更大，应在论文局限中写明，并把全部病例记为近似值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9　常见问题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B6E"/>
          <w:sz w:val="23"/>
          <w:szCs w:val="23"/>
        </w:rPr>
        <w:t xml:space="preserve">电池边缘模糊，量不准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适当调整窗宽窗位提高边缘对比；仍不清晰则在 note 中注明，并由两名测量者分别读数，差值超过 1 mm 时交裁定。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B6E"/>
          <w:sz w:val="23"/>
          <w:szCs w:val="23"/>
        </w:rPr>
        <w:t xml:space="preserve">分不清是电池还是硬币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硬币为均质圆盘，无双环征与台阶征；侧位电池可见斜面边缘。仍无法区分者不得纳入，交病例核对环节处理。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B6E"/>
          <w:sz w:val="23"/>
          <w:szCs w:val="23"/>
        </w:rPr>
        <w:t xml:space="preserve">要不要用侧位片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正位用于测量直径。侧位的价值在于确认斜面征，以及在 SOD 缺失时帮助估计电池距探测器的深度。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B6E"/>
          <w:sz w:val="23"/>
          <w:szCs w:val="23"/>
        </w:rPr>
        <w:t xml:space="preserve">多枚电池重叠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选择边缘完整、未被遮挡的一枚测量；若全部重叠，改用后续复查片中分离开的时相，并在 note 中注明所用片次。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附录　测量记录表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4E5961"/>
          <w:sz w:val="21"/>
          <w:szCs w:val="21"/>
        </w:rPr>
        <w:t xml:space="preserve">可打印后手工填写，或按第 7 节字段建立电子表格。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1500"/>
        <w:gridCol w:w="900"/>
        <w:gridCol w:w="800"/>
        <w:gridCol w:w="1400"/>
        <w:gridCol w:w="1200"/>
        <w:gridCol w:w="1200"/>
        <w:gridCol w:w="2026"/>
      </w:tblGrid>
      <w:tr>
        <w:trPr>
          <w:tblHeader/>
        </w:trPr>
        <w:tc>
          <w:tcPr>
            <w:tcW w:type="dxa" w:w="15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就诊编号</w:t>
            </w:r>
          </w:p>
        </w:tc>
        <w:tc>
          <w:tcPr>
            <w:tcW w:type="dxa" w:w="9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枚号</w:t>
            </w:r>
          </w:p>
        </w:tc>
        <w:tc>
          <w:tcPr>
            <w:tcW w:type="dxa" w:w="8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读者</w:t>
            </w:r>
          </w:p>
        </w:tc>
        <w:tc>
          <w:tcPr>
            <w:tcW w:type="dxa" w:w="14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投影 mm</w:t>
            </w:r>
          </w:p>
        </w:tc>
        <w:tc>
          <w:tcPr>
            <w:tcW w:type="dxa" w:w="12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倍数</w:t>
            </w:r>
          </w:p>
        </w:tc>
        <w:tc>
          <w:tcPr>
            <w:tcW w:type="dxa" w:w="12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吸附 mm</w:t>
            </w:r>
          </w:p>
        </w:tc>
        <w:tc>
          <w:tcPr>
            <w:tcW w:type="dxa" w:w="2026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分类 / 备注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</w:tbl>
    <w:p>
      <w:pPr>
        <w:spacing w:after="20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测量者签名：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　　　　　　　　　　　　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日期：</w:t>
      </w: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　　　　　　　　</w:t>
      </w:r>
    </w:p>
    <w:p>
      <w:pPr>
        <w:spacing w:after="24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/>
      </w:r>
    </w:p>
    <w:p>
      <w:pPr>
        <w:pBdr>
          <w:top w:val="single" w:color="D6DCE0" w:sz="4" w:space="8"/>
        </w:pBdr>
        <w:spacing w:before="200"/>
      </w:pPr>
      <w:r>
        <w:rPr>
          <w:rFonts w:ascii="Microsoft YaHei" w:cs="Microsoft YaHei" w:eastAsia="Microsoft YaHei" w:hAnsi="Microsoft YaHei"/>
          <w:color w:val="4E5961"/>
          <w:sz w:val="17"/>
          <w:szCs w:val="17"/>
        </w:rPr>
        <w:t xml:space="preserve">本规程随研究方案 PROTOCOL.md 一并归档；配套脚本 scripts/dicom_calibration.py。所有测量数据含患者层面信息，不得提交至代码仓库。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4E596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E0" w:sz="4" w:space="6"/>
      </w:pBdr>
      <w:spacing w:after="0"/>
      <w:jc w:val="right"/>
    </w:pPr>
    <w:r>
      <w:rPr>
        <w:rFonts w:ascii="Microsoft YaHei" w:cs="Microsoft YaHei" w:eastAsia="Microsoft YaHei" w:hAnsi="Microsoft YaHei"/>
        <w:color w:val="4E5961"/>
        <w:sz w:val="16"/>
        <w:szCs w:val="16"/>
      </w:rPr>
      <w:t xml:space="preserve">纽扣电池直径测量 SOP　·　已过食管纽扣电池研究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fb5438d9fb70a5b1437bd42f0eb7a665a03d9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纽扣电池直径测量标准操作规程</dc:title>
  <dc:creator>button-battery study</dc:creator>
  <cp:lastModifiedBy>Un-named</cp:lastModifiedBy>
  <cp:revision>1</cp:revision>
  <dcterms:created xsi:type="dcterms:W3CDTF">2026-09-13T07:39:24.001Z</dcterms:created>
  <dcterms:modified xsi:type="dcterms:W3CDTF">2026-09-13T07:39:24.001Z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