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21F50D">
      <w:r>
        <w:rPr>
          <w:rFonts w:hint="eastAsia" w:eastAsia="黑体"/>
        </w:rPr>
        <w:t xml:space="preserve">项目来源与编号：2026R090-E01</w:t>
      </w:r>
    </w:p>
    <w:p w14:paraId="745E3DDF">
      <w:pPr>
        <w:pStyle w:val="9"/>
        <w:rPr>
          <w:rFonts w:ascii="Times New Roman" w:hAnsi="Times New Roman" w:cs="Times New Roman"/>
          <w:sz w:val="30"/>
          <w:szCs w:val="30"/>
        </w:rPr>
      </w:pPr>
    </w:p>
    <w:p w14:paraId="7739CE44">
      <w:pPr>
        <w:pStyle w:val="9"/>
        <w:rPr>
          <w:rFonts w:ascii="Times New Roman" w:hAnsi="Times New Roman" w:cs="Times New Roman"/>
          <w:sz w:val="30"/>
          <w:szCs w:val="30"/>
        </w:rPr>
      </w:pPr>
    </w:p>
    <w:p w14:paraId="2876823B">
      <w:pPr>
        <w:spacing w:line="700" w:lineRule="exact"/>
        <w:jc w:val="center"/>
        <w:rPr>
          <w:rFonts w:ascii="Times New Roman" w:hAnsi="Times New Roman" w:eastAsia="黑体"/>
          <w:sz w:val="44"/>
        </w:rPr>
      </w:pPr>
      <w:r>
        <w:rPr>
          <w:rFonts w:ascii="Times New Roman" w:hAnsi="Times New Roman" w:eastAsia="黑体"/>
          <w:color w:val="FF0000"/>
          <w:sz w:val="44"/>
        </w:rPr>
        <w:t xml:space="preserve">儿童胃十二指肠穿孔病因谱的十年变迁及临床特征分析临床研究方案</w:t>
      </w:r>
    </w:p>
    <w:p w14:paraId="3FF7BA07">
      <w:pPr>
        <w:pStyle w:val="9"/>
        <w:jc w:val="center"/>
        <w:rPr>
          <w:rFonts w:ascii="Times New Roman" w:hAnsi="Times New Roman" w:eastAsia="黑体" w:cs="Times New Roman"/>
          <w:b/>
          <w:kern w:val="2"/>
          <w:sz w:val="44"/>
          <w:szCs w:val="44"/>
        </w:rPr>
      </w:pPr>
      <w:r>
        <w:rPr>
          <w:rFonts w:ascii="Times New Roman" w:hAnsi="Times New Roman" w:eastAsia="黑体" w:cs="Times New Roman"/>
          <w:b/>
          <w:kern w:val="2"/>
          <w:sz w:val="44"/>
          <w:szCs w:val="44"/>
        </w:rPr>
        <w:t>（</w:t>
      </w:r>
      <w:r>
        <w:rPr>
          <w:rFonts w:hint="eastAsia" w:ascii="Times New Roman" w:hAnsi="Times New Roman" w:eastAsia="黑体" w:cs="Times New Roman"/>
          <w:b/>
          <w:kern w:val="2"/>
          <w:sz w:val="44"/>
          <w:szCs w:val="44"/>
        </w:rPr>
        <w:t>观察</w:t>
      </w:r>
      <w:r>
        <w:rPr>
          <w:rFonts w:ascii="Times New Roman" w:hAnsi="Times New Roman" w:eastAsia="黑体" w:cs="Times New Roman"/>
          <w:b/>
          <w:kern w:val="2"/>
          <w:sz w:val="44"/>
          <w:szCs w:val="44"/>
        </w:rPr>
        <w:t>性临床研究）</w:t>
      </w:r>
    </w:p>
    <w:p w14:paraId="35BAD4C2">
      <w:pPr>
        <w:rPr>
          <w:rFonts w:ascii="Times New Roman" w:hAnsi="Times New Roman"/>
          <w:szCs w:val="20"/>
        </w:rPr>
      </w:pPr>
    </w:p>
    <w:p w14:paraId="226531DE">
      <w:pPr>
        <w:rPr>
          <w:rFonts w:ascii="Times New Roman" w:hAnsi="Times New Roman"/>
        </w:rPr>
      </w:pPr>
    </w:p>
    <w:p w14:paraId="6AF7CF50">
      <w:pPr>
        <w:rPr>
          <w:rFonts w:ascii="Times New Roman" w:hAnsi="Times New Roman"/>
        </w:rPr>
      </w:pPr>
    </w:p>
    <w:p w14:paraId="6FFE0D0D">
      <w:pPr>
        <w:spacing w:line="360" w:lineRule="auto"/>
        <w:ind w:firstLine="600" w:firstLineChars="200"/>
        <w:rPr>
          <w:rFonts w:ascii="Times New Roman" w:hAnsi="Times New Roman" w:eastAsia="楷体_GB2312"/>
          <w:sz w:val="30"/>
          <w:szCs w:val="30"/>
        </w:rPr>
      </w:pPr>
      <w:r>
        <w:rPr>
          <w:rFonts w:ascii="Times New Roman" w:hAnsi="Times New Roman" w:eastAsia="仿宋_GB2312"/>
          <w:sz w:val="30"/>
        </w:rPr>
        <w:t>研究单位：武汉儿童医院</w:t>
      </w:r>
    </w:p>
    <w:p w14:paraId="10F2E206">
      <w:pPr>
        <w:spacing w:line="360" w:lineRule="auto"/>
        <w:ind w:firstLine="600" w:firstLineChars="200"/>
        <w:rPr>
          <w:rFonts w:ascii="Times New Roman" w:hAnsi="Times New Roman"/>
          <w:color w:val="FF0000"/>
          <w:sz w:val="30"/>
          <w:szCs w:val="30"/>
        </w:rPr>
      </w:pPr>
      <w:r>
        <w:rPr>
          <w:rFonts w:ascii="Times New Roman" w:hAnsi="Times New Roman" w:eastAsia="仿宋_GB2312"/>
          <w:sz w:val="30"/>
        </w:rPr>
        <w:t>项目负责人（签名）：舒俊</w:t>
      </w:r>
    </w:p>
    <w:p w14:paraId="12BB1D82">
      <w:pPr>
        <w:spacing w:line="360" w:lineRule="auto"/>
        <w:ind w:firstLine="600" w:firstLineChars="200"/>
        <w:rPr>
          <w:rFonts w:ascii="Times New Roman" w:hAnsi="Times New Roman"/>
          <w:color w:val="FF0000"/>
          <w:sz w:val="30"/>
          <w:szCs w:val="30"/>
        </w:rPr>
      </w:pPr>
      <w:r>
        <w:rPr>
          <w:rFonts w:ascii="Times New Roman" w:hAnsi="Times New Roman" w:eastAsia="仿宋_GB2312"/>
          <w:sz w:val="30"/>
        </w:rPr>
        <w:t>承担科室：胃肠外科</w:t>
      </w:r>
    </w:p>
    <w:p w14:paraId="5ED70B98">
      <w:pPr>
        <w:spacing w:line="360" w:lineRule="auto"/>
        <w:ind w:firstLine="600" w:firstLineChars="200"/>
        <w:rPr>
          <w:rFonts w:ascii="Times New Roman" w:hAnsi="Times New Roman" w:eastAsia="楷体_GB2312"/>
          <w:sz w:val="30"/>
          <w:szCs w:val="30"/>
        </w:rPr>
      </w:pPr>
      <w:r>
        <w:rPr>
          <w:rFonts w:ascii="Times New Roman" w:hAnsi="Times New Roman" w:eastAsia="仿宋_GB2312"/>
          <w:sz w:val="30"/>
        </w:rPr>
        <w:t>联系电话：13545265102</w:t>
      </w:r>
    </w:p>
    <w:p w14:paraId="7C3EA576">
      <w:pPr>
        <w:spacing w:line="360" w:lineRule="auto"/>
        <w:ind w:left="630" w:leftChars="300"/>
        <w:rPr>
          <w:rFonts w:ascii="Times New Roman" w:hAnsi="Times New Roman" w:eastAsia="楷体_GB2312"/>
          <w:color w:val="FF0000"/>
          <w:sz w:val="30"/>
          <w:szCs w:val="30"/>
        </w:rPr>
      </w:pPr>
      <w:r>
        <w:rPr>
          <w:rFonts w:ascii="Times New Roman" w:hAnsi="Times New Roman" w:eastAsia="仿宋_GB2312"/>
          <w:sz w:val="30"/>
        </w:rPr>
        <w:t>研究年限：</w:t>
      </w:r>
    </w:p>
    <w:p w14:paraId="2501A642">
      <w:pPr>
        <w:spacing w:line="360" w:lineRule="auto"/>
        <w:ind w:left="630" w:leftChars="300"/>
        <w:rPr>
          <w:rFonts w:ascii="Times New Roman" w:hAnsi="Times New Roman" w:eastAsia="楷体_GB2312"/>
          <w:sz w:val="30"/>
          <w:szCs w:val="30"/>
        </w:rPr>
      </w:pPr>
      <w:r>
        <w:rPr>
          <w:rFonts w:ascii="Times New Roman" w:hAnsi="Times New Roman" w:eastAsia="楷体_GB2312"/>
          <w:color w:val="000000" w:themeColor="text1"/>
          <w:sz w:val="30"/>
          <w:szCs w:val="30"/>
          <w14:textFill>
            <w14:solidFill>
              <w14:schemeClr w14:val="tx1"/>
            </w14:solidFill>
          </w14:textFill>
        </w:rPr>
        <w:t>2026年7月 —— 2027年7月</w:t>
      </w:r>
    </w:p>
    <w:p w14:paraId="60E48AF3">
      <w:pPr>
        <w:spacing w:line="360" w:lineRule="auto"/>
        <w:ind w:firstLine="555"/>
        <w:rPr>
          <w:rFonts w:ascii="Times New Roman" w:hAnsi="Times New Roman" w:eastAsia="仿宋_GB2312"/>
          <w:sz w:val="30"/>
        </w:rPr>
      </w:pPr>
      <w:r>
        <w:rPr>
          <w:rFonts w:ascii="Times New Roman" w:hAnsi="Times New Roman" w:eastAsia="仿宋_GB2312"/>
          <w:sz w:val="30"/>
        </w:rPr>
        <w:t xml:space="preserve">版本号：V2.0</w:t>
      </w:r>
    </w:p>
    <w:p w14:paraId="09F7ED23">
      <w:pPr>
        <w:spacing w:line="360" w:lineRule="auto"/>
        <w:ind w:firstLine="555"/>
        <w:rPr>
          <w:rFonts w:ascii="Times New Roman" w:hAnsi="Times New Roman" w:eastAsia="楷体_GB2312"/>
          <w:sz w:val="30"/>
          <w:szCs w:val="30"/>
        </w:rPr>
      </w:pPr>
      <w:r>
        <w:rPr>
          <w:rFonts w:ascii="Times New Roman" w:hAnsi="Times New Roman" w:eastAsia="仿宋_GB2312"/>
          <w:sz w:val="30"/>
        </w:rPr>
        <w:t xml:space="preserve">版本日期：2026年8月19日</w:t>
      </w:r>
    </w:p>
    <w:p w14:paraId="2139DF21">
      <w:pPr>
        <w:spacing w:line="360" w:lineRule="auto"/>
        <w:ind w:firstLine="555"/>
        <w:jc w:val="left"/>
        <w:rPr>
          <w:rFonts w:ascii="Times New Roman" w:hAnsi="Times New Roman"/>
          <w:b/>
          <w:sz w:val="28"/>
          <w:szCs w:val="28"/>
        </w:rPr>
      </w:pPr>
    </w:p>
    <w:p w14:paraId="144E1B72">
      <w:pPr>
        <w:spacing w:line="480" w:lineRule="auto"/>
        <w:jc w:val="center"/>
        <w:rPr>
          <w:rFonts w:ascii="Times New Roman" w:hAnsi="Times New Roman"/>
          <w:b/>
          <w:sz w:val="28"/>
          <w:szCs w:val="28"/>
        </w:rPr>
      </w:pPr>
    </w:p>
    <w:p w14:paraId="2EBFCFED">
      <w:pPr>
        <w:spacing w:line="480" w:lineRule="auto"/>
        <w:jc w:val="center"/>
        <w:rPr>
          <w:rFonts w:ascii="Times New Roman" w:hAnsi="Times New Roman"/>
          <w:b/>
          <w:sz w:val="28"/>
          <w:szCs w:val="28"/>
        </w:rPr>
      </w:pPr>
    </w:p>
    <w:p w14:paraId="14BB1A23">
      <w:pPr>
        <w:spacing w:line="480" w:lineRule="auto"/>
        <w:jc w:val="center"/>
        <w:rPr>
          <w:rFonts w:ascii="Times New Roman" w:hAnsi="Times New Roman"/>
          <w:b/>
          <w:sz w:val="28"/>
          <w:szCs w:val="28"/>
        </w:rPr>
      </w:pPr>
    </w:p>
    <w:p w14:paraId="1FF809E0">
      <w:pPr>
        <w:spacing w:line="480" w:lineRule="auto"/>
        <w:jc w:val="center"/>
        <w:rPr>
          <w:rFonts w:ascii="Times New Roman" w:hAnsi="Times New Roman"/>
          <w:b/>
          <w:sz w:val="28"/>
          <w:szCs w:val="28"/>
        </w:rPr>
      </w:pPr>
    </w:p>
    <w:p w14:paraId="4943E629">
      <w:pPr>
        <w:spacing w:line="480" w:lineRule="auto"/>
        <w:jc w:val="center"/>
        <w:rPr>
          <w:rFonts w:ascii="Times New Roman" w:hAnsi="Times New Roman"/>
          <w:b/>
          <w:sz w:val="28"/>
          <w:szCs w:val="28"/>
        </w:rPr>
      </w:pPr>
      <w:r>
        <w:rPr>
          <w:rFonts w:ascii="Times New Roman" w:hAnsi="Times New Roman"/>
          <w:b/>
          <w:sz w:val="28"/>
          <w:szCs w:val="28"/>
        </w:rPr>
        <w:t>方案摘要</w:t>
      </w:r>
    </w:p>
    <w:tbl>
      <w:tblPr>
        <w:tblStyle w:val="10"/>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8080"/>
      </w:tblGrid>
      <w:tr w14:paraId="748E4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E884943">
            <w:pPr>
              <w:pStyle w:val="17"/>
              <w:spacing w:line="480" w:lineRule="auto"/>
              <w:ind w:left="0"/>
              <w:jc w:val="center"/>
              <w:rPr>
                <w:rStyle w:val="24"/>
                <w:rFonts w:ascii="Times New Roman" w:hAnsi="Times New Roman" w:eastAsia="仿宋_GB2312" w:cs="Times New Roman"/>
                <w:b/>
              </w:rPr>
            </w:pPr>
            <w:r>
              <w:rPr>
                <w:rStyle w:val="24"/>
                <w:rFonts w:ascii="Times New Roman" w:hAnsi="Times New Roman" w:eastAsia="仿宋_GB2312" w:cs="Times New Roman"/>
                <w:b/>
              </w:rPr>
              <w:t>项目名称</w:t>
            </w:r>
          </w:p>
        </w:tc>
        <w:tc>
          <w:tcPr>
            <w:tcW w:w="8080" w:type="dxa"/>
            <w:vAlign w:val="center"/>
          </w:tcPr>
          <w:p w14:paraId="209B4877">
            <w:r>
              <w:t xml:space="preserve">儿童胃十二指肠穿孔病因谱的十年变迁及临床特征分析</w:t>
            </w:r>
          </w:p>
        </w:tc>
      </w:tr>
      <w:tr w14:paraId="63545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132A3FF">
            <w:pPr>
              <w:autoSpaceDE w:val="0"/>
              <w:autoSpaceDN w:val="0"/>
              <w:adjustRightInd w:val="0"/>
              <w:spacing w:line="480" w:lineRule="auto"/>
              <w:jc w:val="center"/>
              <w:rPr>
                <w:rStyle w:val="24"/>
                <w:rFonts w:ascii="Times New Roman" w:hAnsi="Times New Roman" w:eastAsia="仿宋_GB2312"/>
                <w:b/>
              </w:rPr>
            </w:pPr>
            <w:r>
              <w:rPr>
                <w:rStyle w:val="24"/>
                <w:rFonts w:ascii="Times New Roman" w:hAnsi="Times New Roman" w:eastAsia="仿宋_GB2312"/>
                <w:b/>
              </w:rPr>
              <w:t>研究目的</w:t>
            </w:r>
          </w:p>
        </w:tc>
        <w:tc>
          <w:tcPr>
            <w:tcW w:w="8080" w:type="dxa"/>
          </w:tcPr>
          <w:p w14:paraId="740DF457">
            <w:r>
              <w:t xml:space="preserve">描述儿童胃十二指肠穿孔的病因构成及其十年间的时间变化趋势，分析病因的年龄分层特征，并总结各病因类别的临床特征与住院期间转归。</w:t>
            </w:r>
          </w:p>
        </w:tc>
      </w:tr>
      <w:tr w14:paraId="1B63D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0623ADF">
            <w:pPr>
              <w:autoSpaceDE w:val="0"/>
              <w:autoSpaceDN w:val="0"/>
              <w:adjustRightInd w:val="0"/>
              <w:spacing w:line="480" w:lineRule="auto"/>
              <w:jc w:val="center"/>
              <w:rPr>
                <w:rStyle w:val="24"/>
                <w:rFonts w:ascii="Times New Roman" w:hAnsi="Times New Roman" w:eastAsia="仿宋_GB2312"/>
                <w:b/>
              </w:rPr>
            </w:pPr>
            <w:r>
              <w:rPr>
                <w:rStyle w:val="24"/>
                <w:rFonts w:ascii="Times New Roman" w:hAnsi="Times New Roman" w:eastAsia="仿宋_GB2312"/>
                <w:b/>
              </w:rPr>
              <w:t>研究设计</w:t>
            </w:r>
          </w:p>
        </w:tc>
        <w:tc>
          <w:tcPr>
            <w:tcW w:w="8080" w:type="dxa"/>
            <w:vAlign w:val="center"/>
          </w:tcPr>
          <w:p w14:paraId="576F0E49">
            <w:pPr>
              <w:spacing w:line="360" w:lineRule="auto"/>
              <w:rPr>
                <w:rFonts w:ascii="Times New Roman" w:hAnsi="Times New Roman"/>
                <w:color w:val="000000"/>
                <w:spacing w:val="2"/>
              </w:rPr>
            </w:pPr>
            <w:r>
              <w:rPr>
                <w:rFonts w:hint="eastAsia" w:ascii="宋体" w:hAnsi="宋体" w:cs="宋体"/>
                <w:bCs/>
                <w:color w:val="000000"/>
                <w:spacing w:val="2"/>
              </w:rPr>
              <w:t>□</w:t>
            </w:r>
            <w:r>
              <w:rPr>
                <w:rFonts w:ascii="Times New Roman" w:hAnsi="Times New Roman"/>
                <w:color w:val="000000"/>
                <w:spacing w:val="2"/>
              </w:rPr>
              <w:t>病例对照研究</w:t>
            </w:r>
          </w:p>
          <w:p w14:paraId="1A7903C5">
            <w:pPr>
              <w:spacing w:line="360" w:lineRule="auto"/>
              <w:rPr>
                <w:rFonts w:ascii="Times New Roman" w:hAnsi="Times New Roman"/>
                <w:color w:val="000000"/>
                <w:spacing w:val="2"/>
              </w:rPr>
            </w:pPr>
            <w:r>
              <w:rPr>
                <w:rFonts w:hint="eastAsia" w:ascii="宋体" w:hAnsi="宋体" w:cs="宋体"/>
                <w:bCs/>
                <w:color w:val="000000"/>
                <w:spacing w:val="2"/>
              </w:rPr>
              <w:t>□</w:t>
            </w:r>
            <w:r>
              <w:rPr>
                <w:rFonts w:ascii="Times New Roman" w:hAnsi="Times New Roman"/>
                <w:color w:val="000000"/>
                <w:spacing w:val="2"/>
              </w:rPr>
              <w:t>回顾性</w:t>
            </w:r>
            <w:r>
              <w:rPr>
                <w:rFonts w:hint="eastAsia" w:ascii="Times New Roman" w:hAnsi="Times New Roman"/>
                <w:color w:val="000000"/>
                <w:spacing w:val="2"/>
              </w:rPr>
              <w:t>队列</w:t>
            </w:r>
            <w:r>
              <w:rPr>
                <w:rFonts w:ascii="Times New Roman" w:hAnsi="Times New Roman"/>
                <w:color w:val="000000"/>
                <w:spacing w:val="2"/>
              </w:rPr>
              <w:t>研究</w:t>
            </w:r>
            <w:r>
              <w:rPr>
                <w:rFonts w:hint="eastAsia" w:ascii="Times New Roman" w:hAnsi="Times New Roman"/>
                <w:color w:val="000000"/>
                <w:spacing w:val="2"/>
              </w:rPr>
              <w:t xml:space="preserve">  </w:t>
            </w:r>
            <w:r>
              <w:rPr>
                <w:rFonts w:hint="eastAsia" w:ascii="宋体" w:hAnsi="宋体" w:cs="宋体"/>
                <w:bCs/>
                <w:color w:val="000000"/>
                <w:spacing w:val="2"/>
              </w:rPr>
              <w:t>□</w:t>
            </w:r>
            <w:r>
              <w:rPr>
                <w:rFonts w:ascii="Times New Roman" w:hAnsi="Times New Roman"/>
                <w:color w:val="000000"/>
                <w:spacing w:val="2"/>
              </w:rPr>
              <w:t>前瞻性</w:t>
            </w:r>
            <w:r>
              <w:rPr>
                <w:rFonts w:hint="eastAsia" w:ascii="Times New Roman" w:hAnsi="Times New Roman"/>
                <w:color w:val="000000"/>
                <w:spacing w:val="2"/>
              </w:rPr>
              <w:t>队列</w:t>
            </w:r>
            <w:r>
              <w:rPr>
                <w:rFonts w:ascii="Times New Roman" w:hAnsi="Times New Roman"/>
                <w:color w:val="000000"/>
                <w:spacing w:val="2"/>
              </w:rPr>
              <w:t>研究</w:t>
            </w:r>
          </w:p>
          <w:p w14:paraId="05A75E2B">
            <w:pPr>
              <w:spacing w:line="360" w:lineRule="auto"/>
              <w:rPr>
                <w:rFonts w:ascii="Times New Roman" w:hAnsi="Times New Roman"/>
                <w:color w:val="000000"/>
                <w:spacing w:val="2"/>
              </w:rPr>
            </w:pPr>
            <w:r>
              <w:rPr>
                <w:rFonts w:hint="eastAsia" w:ascii="宋体" w:hAnsi="宋体" w:cs="宋体"/>
                <w:bCs/>
                <w:color w:val="000000"/>
                <w:spacing w:val="2"/>
              </w:rPr>
              <w:t>□</w:t>
            </w:r>
            <w:r>
              <w:rPr>
                <w:rFonts w:ascii="Times New Roman" w:hAnsi="Times New Roman"/>
                <w:color w:val="000000"/>
                <w:spacing w:val="2"/>
              </w:rPr>
              <w:t>横断面研究</w:t>
            </w:r>
          </w:p>
          <w:p w14:paraId="67EF134E">
            <w:pPr>
              <w:spacing w:line="360" w:lineRule="auto"/>
              <w:rPr>
                <w:rStyle w:val="24"/>
                <w:rFonts w:ascii="Times New Roman" w:hAnsi="Times New Roman"/>
                <w:color w:val="000000"/>
                <w:spacing w:val="2"/>
                <w:sz w:val="21"/>
              </w:rPr>
            </w:pPr>
            <w:r>
              <w:rPr>
                <w:rFonts w:ascii="宋体" w:hAnsi="宋体" w:cs="宋体"/>
                <w:bCs/>
                <w:color w:val="000000"/>
                <w:spacing w:val="2"/>
              </w:rPr>
              <w:t>☑</w:t>
            </w:r>
            <w:r>
              <w:rPr>
                <w:rFonts w:hint="eastAsia" w:ascii="宋体" w:hAnsi="宋体" w:cs="宋体"/>
                <w:bCs/>
                <w:color w:val="000000"/>
                <w:spacing w:val="2"/>
              </w:rPr>
              <w:t>其他</w:t>
            </w:r>
            <w:r>
              <w:rPr>
                <w:rFonts w:ascii="宋体" w:hAnsi="宋体" w:cs="宋体"/>
                <w:bCs/>
                <w:color w:val="000000"/>
                <w:spacing w:val="2"/>
              </w:rPr>
              <w:t xml:space="preserve">  </w:t>
            </w:r>
            <w:r>
              <w:rPr>
                <w:rFonts w:ascii="宋体" w:hAnsi="宋体" w:cs="宋体"/>
                <w:bCs/>
                <w:color w:val="000000"/>
                <w:spacing w:val="2"/>
                <w:u w:val="single"/>
              </w:rPr>
              <w:t>回顾性研究</w:t>
            </w:r>
          </w:p>
        </w:tc>
      </w:tr>
      <w:tr w14:paraId="55A8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38085D79">
            <w:pPr>
              <w:autoSpaceDE w:val="0"/>
              <w:autoSpaceDN w:val="0"/>
              <w:adjustRightInd w:val="0"/>
              <w:spacing w:line="480" w:lineRule="auto"/>
              <w:jc w:val="center"/>
              <w:rPr>
                <w:rStyle w:val="24"/>
                <w:rFonts w:ascii="Times New Roman" w:hAnsi="Times New Roman" w:eastAsia="仿宋_GB2312"/>
                <w:b/>
              </w:rPr>
            </w:pPr>
            <w:r>
              <w:rPr>
                <w:rStyle w:val="24"/>
                <w:rFonts w:ascii="Times New Roman" w:hAnsi="Times New Roman" w:eastAsia="仿宋_GB2312"/>
                <w:b/>
              </w:rPr>
              <w:t>样本量</w:t>
            </w:r>
          </w:p>
        </w:tc>
        <w:tc>
          <w:tcPr>
            <w:tcW w:w="8080" w:type="dxa"/>
            <w:vAlign w:val="center"/>
          </w:tcPr>
          <w:p w14:paraId="5D67D473">
            <w:r>
              <w:t xml:space="preserve">检索得相关住院107次（患儿104例），经纳排筛选与去重后预计纳入约95至100例，以实际符合纳入排除标准的病例数为准</w:t>
            </w:r>
          </w:p>
        </w:tc>
      </w:tr>
      <w:tr w14:paraId="490E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Merge w:val="restart"/>
            <w:vAlign w:val="center"/>
          </w:tcPr>
          <w:p w14:paraId="71F9F998">
            <w:pPr>
              <w:autoSpaceDE w:val="0"/>
              <w:autoSpaceDN w:val="0"/>
              <w:adjustRightInd w:val="0"/>
              <w:spacing w:line="480" w:lineRule="auto"/>
              <w:jc w:val="center"/>
              <w:rPr>
                <w:rStyle w:val="24"/>
                <w:rFonts w:ascii="Times New Roman" w:hAnsi="Times New Roman" w:eastAsia="仿宋_GB2312"/>
                <w:b/>
              </w:rPr>
            </w:pPr>
            <w:r>
              <w:rPr>
                <w:rStyle w:val="24"/>
                <w:rFonts w:ascii="Times New Roman" w:hAnsi="Times New Roman" w:eastAsia="仿宋_GB2312"/>
                <w:b/>
              </w:rPr>
              <w:t>研究人群</w:t>
            </w:r>
          </w:p>
        </w:tc>
        <w:tc>
          <w:tcPr>
            <w:tcW w:w="8080" w:type="dxa"/>
          </w:tcPr>
          <w:p w14:paraId="06A80C14">
            <w:r>
              <w:t xml:space="preserve">入选标准</w:t>
              <w:br/>
              <w:t xml:space="preserve">18岁以内，经手术、内镜或影像学结合临床明确诊断为胃穿孔、十二指肠穿孔或胃十二指肠穿孔的患儿，无论是否接受手术治疗</w:t>
            </w:r>
          </w:p>
        </w:tc>
      </w:tr>
      <w:tr w14:paraId="14530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Merge w:val="continue"/>
          </w:tcPr>
          <w:p w14:paraId="50DCDA72">
            <w:pPr>
              <w:autoSpaceDE w:val="0"/>
              <w:autoSpaceDN w:val="0"/>
              <w:adjustRightInd w:val="0"/>
              <w:spacing w:line="480" w:lineRule="auto"/>
              <w:jc w:val="center"/>
              <w:rPr>
                <w:rStyle w:val="24"/>
                <w:rFonts w:ascii="Times New Roman" w:hAnsi="Times New Roman" w:eastAsia="仿宋_GB2312"/>
                <w:b/>
              </w:rPr>
            </w:pPr>
          </w:p>
        </w:tc>
        <w:tc>
          <w:tcPr>
            <w:tcW w:w="8080" w:type="dxa"/>
          </w:tcPr>
          <w:p w14:paraId="46215B1C">
            <w:r>
              <w:t xml:space="preserve">排除标准</w:t>
              <w:br/>
              <w:t xml:space="preserve">穿孔部位不在胃或十二指肠；本次住院无活动性穿孔；穿孔已在外院手术处理后转入；同一次穿孔的再次住院；病案资料严重缺失无法完成病因判定</w:t>
            </w:r>
          </w:p>
        </w:tc>
      </w:tr>
      <w:tr w14:paraId="4419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0A1CD4A">
            <w:pPr>
              <w:autoSpaceDE w:val="0"/>
              <w:autoSpaceDN w:val="0"/>
              <w:adjustRightInd w:val="0"/>
              <w:spacing w:line="480" w:lineRule="auto"/>
              <w:jc w:val="center"/>
              <w:rPr>
                <w:rStyle w:val="24"/>
                <w:rFonts w:ascii="Times New Roman" w:hAnsi="Times New Roman" w:eastAsia="仿宋_GB2312"/>
                <w:b/>
              </w:rPr>
            </w:pPr>
            <w:r>
              <w:rPr>
                <w:rStyle w:val="24"/>
                <w:rFonts w:hint="eastAsia" w:ascii="Times New Roman" w:hAnsi="Times New Roman" w:eastAsia="仿宋_GB2312"/>
                <w:b/>
              </w:rPr>
              <w:t>观察</w:t>
            </w:r>
            <w:r>
              <w:rPr>
                <w:rStyle w:val="24"/>
                <w:rFonts w:ascii="Times New Roman" w:hAnsi="Times New Roman" w:eastAsia="仿宋_GB2312"/>
                <w:b/>
              </w:rPr>
              <w:t>指标</w:t>
            </w:r>
          </w:p>
        </w:tc>
        <w:tc>
          <w:tcPr>
            <w:tcW w:w="8080" w:type="dxa"/>
            <w:vAlign w:val="center"/>
          </w:tcPr>
          <w:p w14:paraId="6B2EE8A8">
            <w:r>
              <w:t xml:space="preserve">主要观察指标为病因类别及其随时间的变化趋势；次要观察指标包括临床表现、辅助检查、穿孔部位与数目、治疗方式、住院期间并发症、恢复进食时间、住院时间、再次手术或再次干预情况及院内转归等。通过上述指标综合描述儿童胃十二指肠穿孔的病因谱变迁及各病因类别的临床特点。</w:t>
            </w:r>
          </w:p>
        </w:tc>
      </w:tr>
      <w:tr w14:paraId="23C90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CCFF94F">
            <w:pPr>
              <w:autoSpaceDE w:val="0"/>
              <w:autoSpaceDN w:val="0"/>
              <w:adjustRightInd w:val="0"/>
              <w:spacing w:line="480" w:lineRule="auto"/>
              <w:jc w:val="center"/>
              <w:rPr>
                <w:rStyle w:val="24"/>
                <w:rFonts w:ascii="Times New Roman" w:hAnsi="Times New Roman" w:eastAsia="仿宋_GB2312"/>
                <w:b/>
              </w:rPr>
            </w:pPr>
            <w:r>
              <w:rPr>
                <w:rStyle w:val="24"/>
                <w:rFonts w:ascii="Times New Roman" w:hAnsi="Times New Roman" w:eastAsia="仿宋_GB2312"/>
                <w:b/>
              </w:rPr>
              <w:t>统计方法</w:t>
            </w:r>
          </w:p>
        </w:tc>
        <w:tc>
          <w:tcPr>
            <w:tcW w:w="8080" w:type="dxa"/>
            <w:vAlign w:val="center"/>
          </w:tcPr>
          <w:p w14:paraId="1655E29B">
            <w:r>
              <w:t xml:space="preserve">以描述性统计为主；病因构成的时间趋势采用Cochran-Armitage趋势检验及多分类logistic回归；病因判定由2名研究者独立完成并以Cohen κ评价一致性；必要时根据病因类别、穿孔部位或并发症情况进行探索性比较。</w:t>
            </w:r>
          </w:p>
        </w:tc>
      </w:tr>
      <w:tr w14:paraId="5FC97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7DAF4669">
            <w:pPr>
              <w:autoSpaceDE w:val="0"/>
              <w:autoSpaceDN w:val="0"/>
              <w:adjustRightInd w:val="0"/>
              <w:spacing w:line="480" w:lineRule="auto"/>
              <w:jc w:val="center"/>
              <w:rPr>
                <w:rStyle w:val="24"/>
                <w:rFonts w:ascii="Times New Roman" w:hAnsi="Times New Roman" w:eastAsia="仿宋_GB2312"/>
                <w:b/>
              </w:rPr>
            </w:pPr>
            <w:r>
              <w:rPr>
                <w:rStyle w:val="24"/>
                <w:rFonts w:ascii="Times New Roman" w:hAnsi="Times New Roman" w:eastAsia="仿宋_GB2312"/>
                <w:b/>
              </w:rPr>
              <w:t>风险/受益分析</w:t>
            </w:r>
          </w:p>
        </w:tc>
        <w:tc>
          <w:tcPr>
            <w:tcW w:w="8080" w:type="dxa"/>
            <w:vAlign w:val="center"/>
          </w:tcPr>
          <w:p w14:paraId="6D9456C7">
            <w:r>
              <w:t>本研究为回顾性观察性研究，不改变患儿既往诊疗方案，不增加额外检查或治疗，研究风险不大于最小风险。受试者个体可能无直接获益，但研究结果有助于总结儿童胃十二指肠穿孔的诊疗经验，优化围手术期管理和手术策略，为类似患儿提供临床参考。研究数据将去标识化处理并严格保密。</w:t>
            </w:r>
          </w:p>
        </w:tc>
      </w:tr>
      <w:tr w14:paraId="6101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530F2D7A">
            <w:pPr>
              <w:autoSpaceDE w:val="0"/>
              <w:autoSpaceDN w:val="0"/>
              <w:adjustRightInd w:val="0"/>
              <w:spacing w:line="480" w:lineRule="auto"/>
              <w:jc w:val="center"/>
              <w:rPr>
                <w:rStyle w:val="24"/>
                <w:rFonts w:ascii="Times New Roman" w:hAnsi="Times New Roman" w:eastAsia="仿宋_GB2312"/>
                <w:b/>
              </w:rPr>
            </w:pPr>
            <w:r>
              <w:rPr>
                <w:rStyle w:val="24"/>
                <w:rFonts w:hint="eastAsia" w:ascii="Times New Roman" w:hAnsi="Times New Roman" w:eastAsia="仿宋_GB2312"/>
                <w:b/>
              </w:rPr>
              <w:t>风险判断</w:t>
            </w:r>
          </w:p>
        </w:tc>
        <w:tc>
          <w:tcPr>
            <w:tcW w:w="8080" w:type="dxa"/>
            <w:vAlign w:val="center"/>
          </w:tcPr>
          <w:p w14:paraId="5CCFB962">
            <w:pPr>
              <w:spacing w:line="360" w:lineRule="auto"/>
              <w:rPr>
                <w:rFonts w:ascii="宋体" w:hAnsi="宋体" w:cs="宋体"/>
                <w:bCs/>
                <w:color w:val="000000"/>
                <w:spacing w:val="2"/>
              </w:rPr>
            </w:pPr>
            <w:r>
              <w:rPr>
                <w:rFonts w:hint="eastAsia" w:ascii="宋体" w:hAnsi="宋体" w:cs="宋体"/>
                <w:bCs/>
                <w:color w:val="000000"/>
                <w:spacing w:val="2"/>
                <w:lang w:eastAsia="zh-CN"/>
              </w:rPr>
              <w:t>☑</w:t>
            </w:r>
            <w:r>
              <w:rPr>
                <w:rFonts w:hint="eastAsia" w:ascii="宋体" w:hAnsi="宋体" w:cs="宋体"/>
                <w:bCs/>
                <w:color w:val="000000"/>
                <w:spacing w:val="2"/>
              </w:rPr>
              <w:t>不大于最小风险</w:t>
            </w:r>
            <w:r>
              <w:rPr>
                <w:rFonts w:hint="eastAsia" w:ascii="宋体" w:hAnsi="宋体" w:cs="宋体"/>
                <w:bCs/>
                <w:color w:val="000000"/>
                <w:spacing w:val="2"/>
                <w:lang w:val="en-US" w:eastAsia="zh-CN"/>
              </w:rPr>
              <w:t xml:space="preserve">   </w:t>
            </w:r>
            <w:r>
              <w:rPr>
                <w:rFonts w:hint="eastAsia" w:ascii="宋体" w:hAnsi="宋体" w:cs="宋体"/>
                <w:bCs/>
                <w:color w:val="000000"/>
                <w:spacing w:val="2"/>
                <w:lang w:eastAsia="zh-CN"/>
              </w:rPr>
              <w:t>□</w:t>
            </w:r>
            <w:r>
              <w:rPr>
                <w:rFonts w:hint="eastAsia" w:ascii="宋体" w:hAnsi="宋体" w:cs="宋体"/>
                <w:bCs/>
                <w:color w:val="000000"/>
                <w:spacing w:val="2"/>
              </w:rPr>
              <w:t>大于最小风险</w:t>
            </w:r>
          </w:p>
          <w:p w14:paraId="3505CE3C">
            <w:pPr>
              <w:spacing w:line="360" w:lineRule="auto"/>
              <w:rPr>
                <w:rStyle w:val="24"/>
                <w:rFonts w:ascii="Times New Roman" w:hAnsi="Times New Roman" w:eastAsia="仿宋_GB2312"/>
                <w:b/>
              </w:rPr>
            </w:pPr>
            <w:r>
              <w:rPr>
                <w:rFonts w:hint="eastAsia" w:ascii="宋体" w:hAnsi="宋体" w:cs="宋体"/>
                <w:bCs/>
                <w:color w:val="000000"/>
                <w:spacing w:val="2"/>
              </w:rPr>
              <w:t>最小风险：指试验中预期风险的可能性和程度不大于日常生活、或进行常规体格检查或心理测试的风险</w:t>
            </w:r>
          </w:p>
        </w:tc>
      </w:tr>
      <w:tr w14:paraId="3E73A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4CF51B0">
            <w:pPr>
              <w:autoSpaceDE w:val="0"/>
              <w:autoSpaceDN w:val="0"/>
              <w:adjustRightInd w:val="0"/>
              <w:spacing w:line="480" w:lineRule="auto"/>
              <w:jc w:val="center"/>
              <w:rPr>
                <w:rStyle w:val="24"/>
                <w:rFonts w:ascii="Times New Roman" w:hAnsi="Times New Roman" w:eastAsia="仿宋_GB2312"/>
                <w:b/>
              </w:rPr>
            </w:pPr>
            <w:r>
              <w:rPr>
                <w:rStyle w:val="24"/>
                <w:rFonts w:ascii="Times New Roman" w:hAnsi="Times New Roman" w:eastAsia="仿宋_GB2312"/>
                <w:b/>
              </w:rPr>
              <w:t>研究期限</w:t>
            </w:r>
          </w:p>
        </w:tc>
        <w:tc>
          <w:tcPr>
            <w:tcW w:w="8080" w:type="dxa"/>
            <w:vAlign w:val="center"/>
          </w:tcPr>
          <w:p w14:paraId="3E9AC136">
            <w:pPr>
              <w:autoSpaceDE w:val="0"/>
              <w:autoSpaceDN w:val="0"/>
              <w:adjustRightInd w:val="0"/>
              <w:spacing w:line="480" w:lineRule="auto"/>
              <w:ind w:left="23" w:leftChars="11"/>
              <w:rPr>
                <w:rStyle w:val="24"/>
                <w:rFonts w:ascii="Times New Roman" w:hAnsi="Times New Roman"/>
              </w:rPr>
            </w:pPr>
            <w:r>
              <w:rPr>
                <w:rStyle w:val="24"/>
                <w:rFonts w:ascii="Times New Roman" w:hAnsi="Times New Roman"/>
              </w:rPr>
              <w:t>1年</w:t>
            </w:r>
          </w:p>
        </w:tc>
      </w:tr>
    </w:tbl>
    <w:p w14:paraId="430DAA2C">
      <w:pPr>
        <w:spacing w:line="360" w:lineRule="auto"/>
        <w:rPr>
          <w:rFonts w:ascii="Times New Roman" w:hAnsi="Times New Roman"/>
          <w:sz w:val="24"/>
        </w:rPr>
      </w:pPr>
    </w:p>
    <w:p w14:paraId="0AF1B61D">
      <w:pPr>
        <w:widowControl/>
        <w:jc w:val="left"/>
        <w:rPr>
          <w:rFonts w:ascii="Times New Roman" w:hAnsi="Times New Roman"/>
          <w:sz w:val="24"/>
        </w:rPr>
      </w:pPr>
      <w:r>
        <w:rPr>
          <w:rFonts w:ascii="Times New Roman" w:hAnsi="Times New Roman"/>
          <w:sz w:val="24"/>
        </w:rPr>
        <w:br w:type="page"/>
      </w:r>
    </w:p>
    <w:p w14:paraId="17E6D142">
      <w:pPr>
        <w:spacing w:line="360" w:lineRule="exact"/>
        <w:ind w:firstLine="440" w:firstLineChars="200"/>
        <w:rPr>
          <w:rFonts w:ascii="Times New Roman" w:hAnsi="Times New Roman"/>
          <w:i/>
          <w:color w:val="FF0000"/>
          <w:sz w:val="22"/>
          <w:szCs w:val="22"/>
          <w:u w:val="single"/>
        </w:rPr>
      </w:pPr>
      <w:r>
        <w:rPr>
          <w:rFonts w:ascii="Times New Roman" w:hAnsi="Times New Roman" w:eastAsia="黑体"/>
          <w:sz w:val="22"/>
          <w:szCs w:val="22"/>
        </w:rPr>
        <w:t>一、研究背景</w:t>
      </w:r>
    </w:p>
    <w:p w14:paraId="2011F728">
      <w:pPr>
        <w:spacing w:line="360" w:lineRule="auto"/>
        <w:ind w:firstLine="428" w:firstLineChars="200"/>
        <w:rPr>
          <w:rFonts w:ascii="宋体" w:hAnsi="宋体" w:cs="宋体"/>
          <w:bCs/>
          <w:color w:val="000000"/>
          <w:spacing w:val="2"/>
        </w:rPr>
      </w:pPr>
      <w:r>
        <w:rPr>
          <w:rFonts w:ascii="宋体" w:hAnsi="宋体" w:cs="宋体"/>
          <w:bCs/>
          <w:color w:val="000000"/>
          <w:spacing w:val="2"/>
        </w:rPr>
        <w:t>儿童胃十二指肠穿孔是小儿急腹症中较少见但进展迅速的疾病，患儿可表现为突发腹痛、腹膜刺激征、发热、呕吐、腹胀等，部分低龄患儿症状和体征不典型，容易延误诊断。其病因可与消化性溃疡、异物或医源性损伤、感染、药物使用及其他基础疾病相关。胃十二指肠内容物进入腹腔后可迅速引起化学性和细菌性腹膜炎，严重者可出现脓毒症、休克等危及生命的并发症，早期识别、及时手术干预及规范围手术期管理对改善预后具有重要意义。</w:t>
      </w:r>
    </w:p>
    <w:p w14:paraId="4A4555BA">
      <w:pPr>
        <w:spacing w:line="360" w:lineRule="auto"/>
        <w:ind w:firstLine="428" w:firstLineChars="200"/>
        <w:rPr>
          <w:rFonts w:ascii="宋体" w:hAnsi="宋体" w:cs="宋体"/>
          <w:bCs/>
          <w:color w:val="000000"/>
          <w:spacing w:val="2"/>
        </w:rPr>
      </w:pPr>
      <w:r>
        <w:rPr>
          <w:rFonts w:ascii="宋体" w:hAnsi="宋体" w:cs="宋体"/>
          <w:bCs/>
          <w:color w:val="000000"/>
          <w:spacing w:val="2"/>
        </w:rPr>
        <w:t xml:space="preserve">儿童胃十二指肠穿孔的病因构成与成人差异显著，且在儿童内部随年龄呈现明显分层：新生儿多与先天性胃壁肌层缺损及自发性胃穿孔相关，幼儿及学龄前儿童以消化道异物所致者为主，学龄期儿童则多继发于消化性溃疡。近十余年来，随着高强度磁性小球类玩具（磁力珠、巴克球等）在儿童中的流行，多枚磁性异物分处不同肠段相互吸引、造成局部压迫性坏死与穿孔的病例在国内外陆续报道，已成为儿童消化道穿孔中一类值得关注的新发病因。然而，国内关于儿童胃十二指肠穿孔病因构成及其长期变化趋势的系统性资料仍然缺乏。本研究拟采用回顾性研究方法，收集华中科技大学同济医学院附属武汉儿童医院近十年收治的儿童胃十二指肠穿孔病例，系统描述其病因构成、病因随时间的变化趋势及年龄分层特征，并总结各病因类别的临床特征与住院期间转归。</w:t>
      </w:r>
    </w:p>
    <w:p w14:paraId="3B874F17">
      <w:pPr>
        <w:spacing w:line="360" w:lineRule="auto"/>
        <w:ind w:firstLine="428" w:firstLineChars="200"/>
        <w:rPr>
          <w:rFonts w:ascii="宋体" w:hAnsi="宋体" w:cs="宋体"/>
          <w:bCs/>
          <w:color w:val="000000"/>
          <w:spacing w:val="2"/>
        </w:rPr>
      </w:pPr>
      <w:r>
        <w:rPr>
          <w:rFonts w:ascii="宋体" w:hAnsi="宋体" w:cs="宋体"/>
          <w:bCs/>
          <w:color w:val="000000"/>
          <w:spacing w:val="2"/>
        </w:rPr>
        <w:t xml:space="preserve">本研究有助于阐明儿童胃十二指肠穿孔的病因谱及其十年间的变化，明确不同年龄段患儿的主导病因，为临床依据年龄快速推断可能病因、缩短诊断时间提供依据；对磁性异物等可预防性病因变化趋势的描述，亦可为儿童消费品安全管理与家长健康教育提供本土证据。研究结果可为同类患儿的规范化诊疗提供参考，具有一定的临床价值和社会意义。</w:t>
      </w:r>
    </w:p>
    <w:p w14:paraId="308423B7">
      <w:pPr>
        <w:spacing w:line="360" w:lineRule="auto"/>
        <w:rPr>
          <w:rFonts w:ascii="Times New Roman" w:hAnsi="Times New Roman"/>
          <w:sz w:val="22"/>
          <w:szCs w:val="22"/>
        </w:rPr>
      </w:pPr>
    </w:p>
    <w:p w14:paraId="6D0AD202">
      <w:pPr>
        <w:spacing w:line="360" w:lineRule="auto"/>
        <w:ind w:firstLine="440" w:firstLineChars="200"/>
        <w:rPr>
          <w:rFonts w:ascii="Times New Roman" w:hAnsi="Times New Roman" w:eastAsia="黑体"/>
          <w:sz w:val="22"/>
          <w:szCs w:val="22"/>
        </w:rPr>
      </w:pPr>
      <w:r>
        <w:rPr>
          <w:rFonts w:ascii="Times New Roman" w:hAnsi="Times New Roman" w:eastAsia="黑体"/>
          <w:sz w:val="22"/>
          <w:szCs w:val="22"/>
        </w:rPr>
        <w:t>二、研究目的</w:t>
      </w:r>
    </w:p>
    <w:p w14:paraId="7E4FAADD">
      <w:pPr>
        <w:spacing w:line="360" w:lineRule="auto"/>
        <w:ind w:firstLine="440" w:firstLineChars="200"/>
        <w:rPr>
          <w:rFonts w:ascii="Times New Roman" w:hAnsi="Times New Roman"/>
          <w:sz w:val="22"/>
          <w:szCs w:val="22"/>
        </w:rPr>
      </w:pPr>
      <w:r>
        <w:rPr>
          <w:rFonts w:ascii="Times New Roman" w:hAnsi="Times New Roman"/>
          <w:sz w:val="22"/>
          <w:szCs w:val="22"/>
        </w:rPr>
        <w:t xml:space="preserve">1. 主要目的：描述儿童胃十二指肠穿孔的病因构成，及其在2016年6月至2026年5月十年研究期内的时间变化趋势；并分析病因在不同年龄组之间的分布特征。本研究为单中心、回顾性、无对照的描述性研究，不设置对照组，不用于比较不同手术方式或治疗方案之间的疗效差异。</w:t>
      </w:r>
    </w:p>
    <w:p w14:paraId="238A1654">
      <w:pPr>
        <w:spacing w:line="360" w:lineRule="auto"/>
        <w:ind w:firstLine="440" w:firstLineChars="200"/>
        <w:rPr>
          <w:rFonts w:ascii="Times New Roman" w:hAnsi="Times New Roman"/>
          <w:color w:val="FF0000"/>
          <w:sz w:val="22"/>
          <w:szCs w:val="22"/>
        </w:rPr>
      </w:pPr>
      <w:r>
        <w:rPr>
          <w:rFonts w:ascii="Times New Roman" w:hAnsi="Times New Roman"/>
          <w:sz w:val="22"/>
          <w:szCs w:val="22"/>
        </w:rPr>
        <w:t xml:space="preserve">2. 次要目的：总结各病因类别患儿的临床表现、辅助检查特点、穿孔部位、治疗方式及住院期间转归，为儿童胃十二指肠穿孔的早期识别与诊疗流程优化提供临床依据。</w:t>
      </w:r>
    </w:p>
    <w:p w14:paraId="7E4FAAE1">
      <w:pPr>
        <w:spacing w:line="360" w:lineRule="auto"/>
        <w:ind w:firstLine="440" w:firstLineChars="200"/>
        <w:rPr>
          <w:rFonts w:ascii="Times New Roman" w:hAnsi="Times New Roman"/>
          <w:sz w:val="22"/>
          <w:szCs w:val="22"/>
        </w:rPr>
      </w:pPr>
      <w:r>
        <w:rPr>
          <w:rFonts w:ascii="Times New Roman" w:hAnsi="Times New Roman"/>
          <w:sz w:val="22"/>
          <w:szCs w:val="22"/>
        </w:rPr>
        <w:t xml:space="preserve">3. 主要终点：各病因类别的构成比，及其随时间的变化趋势。</w:t>
      </w:r>
    </w:p>
    <w:p w14:paraId="7E4FAAE2">
      <w:pPr>
        <w:spacing w:line="360" w:lineRule="auto"/>
        <w:ind w:firstLine="440" w:firstLineChars="200"/>
        <w:rPr>
          <w:rFonts w:ascii="Times New Roman" w:hAnsi="Times New Roman"/>
          <w:sz w:val="22"/>
          <w:szCs w:val="22"/>
        </w:rPr>
      </w:pPr>
      <w:r>
        <w:rPr>
          <w:rFonts w:ascii="Times New Roman" w:hAnsi="Times New Roman"/>
          <w:sz w:val="22"/>
          <w:szCs w:val="22"/>
        </w:rPr>
        <w:t xml:space="preserve">4. 次要终点：穿孔部位与数目；治疗方式（开腹手术、腹腔镜手术、内镜处理、非手术治疗）；住院期间并发症；住院天数；院内不良结局（院内死亡与家属放弃治疗合并为复合结局）。以上终点均以描述性统计呈现，不作为不同治疗方式间比较疗效的依据。</w:t>
      </w:r>
    </w:p>
    <w:p w14:paraId="0A8996A2">
      <w:pPr>
        <w:spacing w:line="360" w:lineRule="auto"/>
        <w:rPr>
          <w:rFonts w:ascii="Times New Roman" w:hAnsi="Times New Roman" w:eastAsia="黑体"/>
          <w:sz w:val="22"/>
          <w:szCs w:val="22"/>
        </w:rPr>
      </w:pPr>
    </w:p>
    <w:p w14:paraId="647B8E9F">
      <w:pPr>
        <w:spacing w:line="360" w:lineRule="auto"/>
        <w:ind w:firstLine="440" w:firstLineChars="200"/>
        <w:rPr>
          <w:rFonts w:ascii="Times New Roman" w:hAnsi="Times New Roman"/>
          <w:i/>
          <w:color w:val="FF0000"/>
          <w:sz w:val="22"/>
          <w:szCs w:val="22"/>
          <w:u w:val="single"/>
        </w:rPr>
      </w:pPr>
      <w:r>
        <w:rPr>
          <w:rFonts w:ascii="Times New Roman" w:hAnsi="Times New Roman" w:eastAsia="黑体"/>
          <w:sz w:val="22"/>
          <w:szCs w:val="22"/>
        </w:rPr>
        <w:t>三、研究设计类型</w:t>
      </w:r>
      <w:r>
        <w:rPr>
          <w:rFonts w:hint="eastAsia" w:ascii="Times New Roman" w:hAnsi="Times New Roman" w:eastAsia="黑体"/>
          <w:sz w:val="22"/>
          <w:szCs w:val="22"/>
        </w:rPr>
        <w:t>及原则</w:t>
      </w:r>
    </w:p>
    <w:p w14:paraId="6B2099CC">
      <w:pPr>
        <w:spacing w:line="360" w:lineRule="auto"/>
        <w:ind w:firstLine="428" w:firstLineChars="200"/>
        <w:rPr>
          <w:rFonts w:ascii="宋体" w:hAnsi="宋体" w:cs="宋体"/>
          <w:color w:val="000000"/>
          <w:spacing w:val="2"/>
        </w:rPr>
      </w:pPr>
      <w:r>
        <w:rPr>
          <w:rFonts w:hint="eastAsia" w:ascii="宋体" w:hAnsi="宋体" w:cs="宋体"/>
          <w:color w:val="000000"/>
          <w:spacing w:val="2"/>
        </w:rPr>
        <w:t xml:space="preserve">本研究为一项回顾性、单中心、观察性研究。拟纳入2016年6月至2026年5月期间华中科技大学同济医学院附属武汉儿童医院收治，经手术探查或内镜检查证实、或经影像学检查结合临床表现明确诊断为胃十二指肠穿孔的儿童病例，对其病因构成、临床资料、治疗情况及住院期间转归进行回顾性分析。</w:t>
      </w:r>
    </w:p>
    <w:p w14:paraId="30E25BC0">
      <w:pPr>
        <w:spacing w:line="360" w:lineRule="auto"/>
        <w:ind w:firstLine="435"/>
        <w:rPr>
          <w:rFonts w:ascii="Times New Roman" w:hAnsi="Times New Roman" w:eastAsia="黑体"/>
          <w:sz w:val="22"/>
          <w:szCs w:val="22"/>
        </w:rPr>
      </w:pPr>
    </w:p>
    <w:p w14:paraId="395C62A3">
      <w:pPr>
        <w:spacing w:line="360" w:lineRule="auto"/>
        <w:ind w:firstLine="435"/>
        <w:rPr>
          <w:rFonts w:ascii="Times New Roman" w:hAnsi="Times New Roman" w:eastAsia="黑体"/>
          <w:sz w:val="22"/>
          <w:szCs w:val="22"/>
        </w:rPr>
      </w:pPr>
      <w:r>
        <w:rPr>
          <w:rFonts w:ascii="Times New Roman" w:hAnsi="Times New Roman" w:eastAsia="黑体"/>
          <w:sz w:val="22"/>
          <w:szCs w:val="22"/>
        </w:rPr>
        <w:t>四、研究</w:t>
      </w:r>
      <w:r>
        <w:rPr>
          <w:rFonts w:hint="eastAsia" w:ascii="Times New Roman" w:hAnsi="Times New Roman" w:eastAsia="黑体"/>
          <w:sz w:val="22"/>
          <w:szCs w:val="22"/>
        </w:rPr>
        <w:t>人群</w:t>
      </w:r>
    </w:p>
    <w:p w14:paraId="22ECAC81">
      <w:pPr>
        <w:spacing w:line="360" w:lineRule="auto"/>
        <w:ind w:firstLine="405"/>
        <w:rPr>
          <w:rFonts w:ascii="Times New Roman" w:hAnsi="Times New Roman"/>
          <w:sz w:val="22"/>
          <w:szCs w:val="22"/>
        </w:rPr>
      </w:pPr>
      <w:r>
        <w:rPr>
          <w:rFonts w:ascii="Times New Roman" w:hAnsi="Times New Roman"/>
          <w:sz w:val="22"/>
          <w:szCs w:val="22"/>
        </w:rPr>
        <w:t>1. 入选标准</w:t>
      </w:r>
    </w:p>
    <w:p w14:paraId="1838919C">
      <w:pPr>
        <w:spacing w:line="360" w:lineRule="auto"/>
        <w:ind w:firstLine="405"/>
        <w:rPr>
          <w:rFonts w:ascii="Times New Roman" w:hAnsi="Times New Roman"/>
          <w:sz w:val="22"/>
          <w:szCs w:val="22"/>
        </w:rPr>
      </w:pPr>
      <w:r>
        <w:rPr>
          <w:rFonts w:ascii="Times New Roman" w:hAnsi="Times New Roman"/>
          <w:sz w:val="22"/>
          <w:szCs w:val="22"/>
        </w:rPr>
        <w:t xml:space="preserve">年龄在18岁以内；经手术探查、内镜检查证实，或经影像学检查结合临床表现明确诊断为胃穿孔、十二指肠穿孔或胃十二指肠穿孔；无论是否接受手术治疗，保守治疗成功者及因家属拒绝手术而未行手术者一并纳入；住院病案资料包含基本人口学信息、临床表现、辅助检查及诊疗经过等信息，可满足病因判定与主要观察指标的提取。选择儿童病例作为研究对象，可反映该疾病在儿科人群中的病因构成与诊疗规律。</w:t>
      </w:r>
    </w:p>
    <w:p w14:paraId="679B1396">
      <w:pPr>
        <w:spacing w:line="360" w:lineRule="auto"/>
        <w:ind w:firstLine="440" w:firstLineChars="200"/>
        <w:rPr>
          <w:rFonts w:ascii="Times New Roman" w:hAnsi="Times New Roman"/>
          <w:sz w:val="22"/>
          <w:szCs w:val="22"/>
        </w:rPr>
      </w:pPr>
    </w:p>
    <w:p w14:paraId="2AFC8451">
      <w:pPr>
        <w:spacing w:line="360" w:lineRule="auto"/>
        <w:ind w:firstLine="440" w:firstLineChars="200"/>
        <w:rPr>
          <w:rFonts w:ascii="Times New Roman" w:hAnsi="Times New Roman"/>
          <w:sz w:val="22"/>
          <w:szCs w:val="22"/>
        </w:rPr>
      </w:pPr>
      <w:r>
        <w:rPr>
          <w:rFonts w:ascii="Times New Roman" w:hAnsi="Times New Roman"/>
          <w:sz w:val="22"/>
          <w:szCs w:val="22"/>
        </w:rPr>
        <w:t>2. 排除标准</w:t>
      </w:r>
    </w:p>
    <w:p w14:paraId="52E599D0">
      <w:pPr>
        <w:spacing w:line="360" w:lineRule="auto"/>
        <w:ind w:firstLine="440" w:firstLineChars="200"/>
        <w:rPr>
          <w:rFonts w:ascii="Times New Roman" w:hAnsi="Times New Roman"/>
          <w:sz w:val="22"/>
          <w:szCs w:val="22"/>
        </w:rPr>
      </w:pPr>
      <w:r>
        <w:rPr>
          <w:rFonts w:ascii="Times New Roman" w:hAnsi="Times New Roman"/>
          <w:sz w:val="22"/>
          <w:szCs w:val="22"/>
        </w:rPr>
        <w:t xml:space="preserve">符合下列任一条者予以排除：（1）穿孔部位不在胃或十二指肠，如单纯空肠、回肠、结肠或食管穿孔；（2）本次住院并无活动性穿孔，如仅为溃疡、术后复查、拔管或造影随访；（3）穿孔已在外院手术处理后转入本院，本次住院处理的是术后并发症；（4）同一患儿因同一次穿孔的再次住院，保留首次收治的住院记录，后续住院不重复计入；（5）病案资料严重缺失，无法完成病因判定或主要观察指标的提取。上述排除条目均已制定可操作定义并纳入《病例裁定表》分类标准，由2名研究者独立执行。</w:t>
      </w:r>
    </w:p>
    <w:p w14:paraId="4A207F38">
      <w:pPr>
        <w:spacing w:line="360" w:lineRule="auto"/>
        <w:ind w:firstLine="440" w:firstLineChars="200"/>
        <w:rPr>
          <w:rFonts w:ascii="Times New Roman" w:hAnsi="Times New Roman"/>
          <w:sz w:val="22"/>
          <w:szCs w:val="22"/>
        </w:rPr>
      </w:pPr>
    </w:p>
    <w:p w14:paraId="7450905E">
      <w:pPr>
        <w:pStyle w:val="3"/>
        <w:spacing w:line="360" w:lineRule="auto"/>
        <w:ind w:firstLine="440" w:firstLineChars="200"/>
        <w:rPr>
          <w:rFonts w:ascii="Times New Roman" w:hAnsi="Times New Roman"/>
          <w:sz w:val="22"/>
          <w:szCs w:val="22"/>
        </w:rPr>
      </w:pPr>
      <w:r>
        <w:rPr>
          <w:rFonts w:ascii="Times New Roman" w:hAnsi="Times New Roman"/>
          <w:sz w:val="22"/>
          <w:szCs w:val="22"/>
        </w:rPr>
        <w:t>3. 样本量的估计</w:t>
      </w:r>
    </w:p>
    <w:p w14:paraId="6F914868">
      <w:pPr>
        <w:spacing w:line="360" w:lineRule="auto"/>
        <w:ind w:firstLine="440" w:firstLineChars="200"/>
        <w:rPr>
          <w:rFonts w:ascii="Times New Roman" w:hAnsi="Times New Roman"/>
          <w:sz w:val="22"/>
          <w:szCs w:val="22"/>
        </w:rPr>
      </w:pPr>
      <w:r>
        <w:rPr>
          <w:rFonts w:ascii="Times New Roman" w:hAnsi="Times New Roman"/>
          <w:sz w:val="22"/>
          <w:szCs w:val="22"/>
        </w:rPr>
        <w:t xml:space="preserve">本研究为回顾性观察性研究，样本量依据研究期间本院实际收治病例数确定。经病案系统检索，2016年6月至2026年5月期间胃十二指肠穿孔相关住院共107次（患儿104例）；经纳入排除标准筛选，并对同一次穿孔的重复住院去重后，预计纳入约95至100例。本研究采用连续性全样本纳入，以描述性分析和探索性比较为主，不进行前瞻性干预性样本量估算。</w:t>
      </w:r>
    </w:p>
    <w:p w14:paraId="0FD6A10B">
      <w:pPr>
        <w:numPr>
          <w:ilvl w:val="0"/>
          <w:numId w:val="1"/>
        </w:numPr>
        <w:spacing w:line="360" w:lineRule="auto"/>
        <w:ind w:firstLine="440"/>
        <w:rPr>
          <w:rFonts w:ascii="Times New Roman" w:hAnsi="Times New Roman" w:eastAsia="黑体"/>
          <w:sz w:val="22"/>
          <w:szCs w:val="22"/>
        </w:rPr>
      </w:pPr>
      <w:r>
        <w:rPr>
          <w:rFonts w:hint="eastAsia" w:ascii="Times New Roman" w:hAnsi="Times New Roman" w:eastAsia="黑体"/>
          <w:sz w:val="22"/>
          <w:szCs w:val="22"/>
        </w:rPr>
        <w:t>研究方法与步骤</w:t>
      </w:r>
    </w:p>
    <w:p w14:paraId="1D574B65">
      <w:pPr>
        <w:spacing w:line="360" w:lineRule="auto"/>
        <w:ind w:firstLine="440" w:firstLineChars="200"/>
        <w:rPr>
          <w:rFonts w:ascii="Times New Roman" w:hAnsi="Times New Roman"/>
          <w:sz w:val="22"/>
          <w:szCs w:val="22"/>
        </w:rPr>
      </w:pPr>
      <w:r>
        <w:rPr>
          <w:rFonts w:ascii="Times New Roman" w:hAnsi="Times New Roman"/>
          <w:sz w:val="22"/>
          <w:szCs w:val="22"/>
        </w:rPr>
        <w:t xml:space="preserve">本研究采用回顾性研究方法，数据来源于2016年6月至2026年5月期间华中科技大学同济医学院附属武汉儿童医院收治的儿童胃十二指肠穿孔患儿住院临床资料。本研究不额外采集临床生物样本。主要观察指标包括患儿一般资料、临床表现、实验室及影像学检查、病因类别、穿孔部位与数目、治疗方式、术中处理、住院期间并发症、恢复进食时间、住院时间、再次手术或再次干预情况及院内转归等。</w:t>
      </w:r>
    </w:p>
    <w:p w14:paraId="61128380">
      <w:pPr>
        <w:spacing w:line="360" w:lineRule="auto"/>
        <w:ind w:firstLine="440" w:firstLineChars="200"/>
        <w:rPr>
          <w:rFonts w:ascii="Times New Roman" w:hAnsi="Times New Roman"/>
          <w:sz w:val="22"/>
          <w:szCs w:val="22"/>
        </w:rPr>
      </w:pPr>
      <w:r>
        <w:rPr>
          <w:rFonts w:ascii="Times New Roman" w:hAnsi="Times New Roman"/>
          <w:sz w:val="22"/>
          <w:szCs w:val="22"/>
        </w:rPr>
        <w:t>具体研究步骤如下：首先，通过医院病案系统和手术记录系统检索研究期间胃穿孔、十二指肠穿孔及胃十二指肠穿孔相关病例；其次，依据纳入和排除标准筛选研究对象；随后，由研究者按照统一数据提取表收集人口学资料、临床表现、辅助检查、手术记录、围手术期处理及结局资料；最后，对数据进行去标识化整理、统计分析和结果总结。</w:t>
      </w:r>
    </w:p>
    <w:p w14:paraId="2E6EA843">
      <w:pPr>
        <w:spacing w:line="360" w:lineRule="auto"/>
        <w:ind w:firstLine="440" w:firstLineChars="200"/>
        <w:rPr>
          <w:rFonts w:ascii="Times New Roman" w:hAnsi="Times New Roman"/>
          <w:sz w:val="22"/>
          <w:szCs w:val="22"/>
        </w:rPr>
      </w:pPr>
      <w:r>
        <w:rPr>
          <w:rFonts w:ascii="Times New Roman" w:hAnsi="Times New Roman"/>
          <w:sz w:val="22"/>
          <w:szCs w:val="22"/>
        </w:rPr>
        <w:t>由于本研究不涉及样本外送中心实验室进行检测，故无需说明外送样本的流程及外送地点。</w:t>
      </w:r>
    </w:p>
    <w:p w14:paraId="15C7949D">
      <w:pPr>
        <w:spacing w:line="360" w:lineRule="auto"/>
        <w:rPr>
          <w:rFonts w:ascii="Times New Roman" w:hAnsi="Times New Roman" w:eastAsia="黑体"/>
          <w:sz w:val="22"/>
          <w:szCs w:val="22"/>
        </w:rPr>
      </w:pPr>
    </w:p>
    <w:p w14:paraId="3B1C3F5B">
      <w:pPr>
        <w:spacing w:line="360" w:lineRule="auto"/>
        <w:ind w:firstLine="440" w:firstLineChars="200"/>
        <w:rPr>
          <w:rFonts w:ascii="Times New Roman" w:hAnsi="Times New Roman"/>
          <w:i/>
          <w:color w:val="FF0000"/>
          <w:sz w:val="22"/>
          <w:szCs w:val="22"/>
          <w:u w:val="single"/>
        </w:rPr>
      </w:pPr>
      <w:r>
        <w:rPr>
          <w:rFonts w:hint="eastAsia" w:ascii="Times New Roman" w:hAnsi="Times New Roman" w:eastAsia="黑体"/>
          <w:sz w:val="22"/>
          <w:szCs w:val="22"/>
        </w:rPr>
        <w:t>六</w:t>
      </w:r>
      <w:r>
        <w:rPr>
          <w:rFonts w:ascii="Times New Roman" w:hAnsi="Times New Roman" w:eastAsia="黑体"/>
          <w:sz w:val="22"/>
          <w:szCs w:val="22"/>
        </w:rPr>
        <w:t>、研究的质量控制与质量保证</w:t>
      </w:r>
    </w:p>
    <w:p w14:paraId="65B02C1B">
      <w:pPr>
        <w:spacing w:line="360" w:lineRule="auto"/>
        <w:ind w:firstLine="440" w:firstLineChars="200"/>
        <w:rPr>
          <w:rFonts w:ascii="Times New Roman" w:hAnsi="Times New Roman"/>
          <w:sz w:val="22"/>
          <w:szCs w:val="22"/>
        </w:rPr>
      </w:pPr>
      <w:r>
        <w:rPr>
          <w:rFonts w:ascii="Times New Roman" w:hAnsi="Times New Roman"/>
          <w:sz w:val="22"/>
          <w:szCs w:val="22"/>
        </w:rPr>
        <w:t>在实验室指标检测方面，将严格按照相关操作规范和标准流程进行各项检测，确保检测结果的准确性和可靠性。对于观察性研究中可能出现的偏倚，将采用多种方法进行控制，如严格制定入选和排除标准，保证研究对象的同质性；对研究过程进行标准化管理，减少信息偏倚等。</w:t>
      </w:r>
    </w:p>
    <w:p w14:paraId="19B5D277">
      <w:pPr>
        <w:spacing w:line="360" w:lineRule="auto"/>
        <w:ind w:firstLine="440" w:firstLineChars="200"/>
        <w:rPr>
          <w:rFonts w:ascii="Times New Roman" w:hAnsi="Times New Roman"/>
          <w:sz w:val="22"/>
          <w:szCs w:val="22"/>
        </w:rPr>
      </w:pPr>
      <w:r>
        <w:rPr>
          <w:rFonts w:ascii="Times New Roman" w:hAnsi="Times New Roman"/>
          <w:sz w:val="22"/>
          <w:szCs w:val="22"/>
        </w:rPr>
        <w:t>对参与本研究的研究者进行全面系统的培训，使其熟悉研究方案、流程和各项操作规范，提高研究者的专业水平和研究能力，确保研究按照既定方案顺利开展。</w:t>
      </w:r>
    </w:p>
    <w:p w14:paraId="207359B6">
      <w:pPr>
        <w:spacing w:line="360" w:lineRule="auto"/>
        <w:ind w:firstLine="440" w:firstLineChars="200"/>
        <w:rPr>
          <w:rFonts w:ascii="Times New Roman" w:hAnsi="Times New Roman"/>
          <w:sz w:val="22"/>
          <w:szCs w:val="22"/>
        </w:rPr>
      </w:pPr>
      <w:r>
        <w:rPr>
          <w:rFonts w:ascii="Times New Roman" w:hAnsi="Times New Roman"/>
          <w:sz w:val="22"/>
          <w:szCs w:val="22"/>
        </w:rPr>
        <w:t>数据收集整理分析过程中，建立严格的数据管理制度，确保数据的完整性、准确性和保密性。采用双人录入数据的方式，减少数据录入错误；对数据进行定期核查和清理，及时发现并纠正异常数据。</w:t>
      </w:r>
    </w:p>
    <w:p w14:paraId="1CB6EA07">
      <w:pPr>
        <w:spacing w:line="360" w:lineRule="auto"/>
        <w:ind w:firstLine="440" w:firstLineChars="200"/>
        <w:rPr>
          <w:rFonts w:ascii="Times New Roman" w:hAnsi="Times New Roman"/>
          <w:sz w:val="22"/>
          <w:szCs w:val="22"/>
        </w:rPr>
      </w:pPr>
      <w:r>
        <w:rPr>
          <w:rFonts w:ascii="Times New Roman" w:hAnsi="Times New Roman"/>
          <w:sz w:val="22"/>
          <w:szCs w:val="22"/>
        </w:rPr>
        <w:t>设立专门的研究监查小组，定期对研究的开展情况进行监查，检查研究是否按照方案要求进行，有无违规操作等情况。对监查过程中发现的问题及时提出整改意见，并监督整改措施的落实情况，确保研究的质量和安全性。</w:t>
      </w:r>
    </w:p>
    <w:p w14:paraId="14BC0EDC">
      <w:pPr>
        <w:spacing w:line="360" w:lineRule="auto"/>
        <w:ind w:firstLine="440" w:firstLineChars="200"/>
        <w:rPr>
          <w:rFonts w:ascii="Times New Roman" w:hAnsi="Times New Roman"/>
          <w:sz w:val="22"/>
          <w:szCs w:val="22"/>
        </w:rPr>
      </w:pPr>
    </w:p>
    <w:p w14:paraId="00AC114D">
      <w:pPr>
        <w:spacing w:line="360" w:lineRule="auto"/>
        <w:ind w:firstLine="440" w:firstLineChars="200"/>
        <w:rPr>
          <w:rFonts w:eastAsia="黑体"/>
          <w:sz w:val="22"/>
          <w:szCs w:val="22"/>
        </w:rPr>
      </w:pPr>
      <w:r>
        <w:rPr>
          <w:rFonts w:hint="eastAsia" w:eastAsia="黑体"/>
          <w:sz w:val="22"/>
          <w:szCs w:val="22"/>
        </w:rPr>
        <w:t>七、数据安全监查</w:t>
      </w:r>
    </w:p>
    <w:p w14:paraId="18BE07B1">
      <w:pPr>
        <w:spacing w:line="360" w:lineRule="auto"/>
        <w:ind w:firstLine="440" w:firstLineChars="200"/>
        <w:rPr>
          <w:rFonts w:ascii="Times New Roman" w:hAnsi="Times New Roman"/>
          <w:sz w:val="22"/>
          <w:szCs w:val="22"/>
        </w:rPr>
      </w:pPr>
      <w:r>
        <w:rPr>
          <w:rFonts w:hint="eastAsia" w:ascii="Times New Roman" w:hAnsi="Times New Roman"/>
          <w:sz w:val="22"/>
          <w:szCs w:val="22"/>
        </w:rPr>
        <w:t>本研究为回顾性观察性研究，不改变患儿既往诊疗方案，不增加额外检查、治疗或随访负担，风险不大于最小风险。研究过程中将对所有数据进行去标识化处理，仅研究团队成员在授权范围内访问研究数据。主要研究者将定期核查数据完整性、准确性及隐私保护执行情况；如发现涉及受试者权益或数据安全的问题，将及时向伦理委员会报告并采取整改措施。</w:t>
      </w:r>
    </w:p>
    <w:p w14:paraId="29542E02">
      <w:pPr>
        <w:spacing w:line="360" w:lineRule="auto"/>
        <w:ind w:firstLine="440" w:firstLineChars="200"/>
        <w:rPr>
          <w:rFonts w:ascii="Times New Roman" w:hAnsi="Times New Roman" w:eastAsia="黑体"/>
          <w:sz w:val="22"/>
          <w:szCs w:val="22"/>
        </w:rPr>
      </w:pPr>
    </w:p>
    <w:p w14:paraId="2041D1BA">
      <w:pPr>
        <w:spacing w:line="360" w:lineRule="auto"/>
        <w:ind w:firstLine="440" w:firstLineChars="200"/>
        <w:rPr>
          <w:rFonts w:ascii="Times New Roman" w:hAnsi="Times New Roman"/>
          <w:i/>
          <w:color w:val="FF0000"/>
          <w:sz w:val="22"/>
          <w:szCs w:val="22"/>
          <w:u w:val="single"/>
        </w:rPr>
      </w:pPr>
      <w:r>
        <w:rPr>
          <w:rFonts w:hint="eastAsia" w:ascii="Times New Roman" w:hAnsi="Times New Roman" w:eastAsia="黑体"/>
          <w:sz w:val="22"/>
          <w:szCs w:val="22"/>
        </w:rPr>
        <w:t>八</w:t>
      </w:r>
      <w:r>
        <w:rPr>
          <w:rFonts w:ascii="Times New Roman" w:hAnsi="Times New Roman" w:eastAsia="黑体"/>
          <w:sz w:val="22"/>
          <w:szCs w:val="22"/>
        </w:rPr>
        <w:t>、数据</w:t>
      </w:r>
      <w:r>
        <w:rPr>
          <w:rFonts w:hint="eastAsia" w:ascii="Times New Roman" w:hAnsi="Times New Roman" w:eastAsia="黑体"/>
          <w:sz w:val="22"/>
          <w:szCs w:val="22"/>
        </w:rPr>
        <w:t>存储</w:t>
      </w:r>
      <w:r>
        <w:rPr>
          <w:rFonts w:ascii="Times New Roman" w:hAnsi="Times New Roman" w:eastAsia="黑体"/>
          <w:sz w:val="22"/>
          <w:szCs w:val="22"/>
        </w:rPr>
        <w:t>和管理</w:t>
      </w:r>
    </w:p>
    <w:p w14:paraId="68D152F0">
      <w:pPr>
        <w:spacing w:line="360" w:lineRule="auto"/>
        <w:ind w:firstLine="440" w:firstLineChars="200"/>
        <w:rPr>
          <w:rFonts w:eastAsia="黑体"/>
          <w:sz w:val="22"/>
          <w:szCs w:val="22"/>
        </w:rPr>
      </w:pPr>
      <w:r>
        <w:rPr>
          <w:rFonts w:hint="eastAsia" w:ascii="宋体" w:hAnsi="宋体" w:cs="宋体"/>
          <w:sz w:val="22"/>
          <w:szCs w:val="22"/>
        </w:rPr>
        <w:t xml:space="preserve">本研究的临床数据均来源于本单位病案系统及手术麻醉系统的住院期间记录，不含门诊随访资料。研究数据经去标识化后由胃肠外科研究团队专人管理，临床数据的准确性、规范性、系统性和安全性由本单位相关科室协同管理、监督、审核和归档。</w:t>
      </w:r>
    </w:p>
    <w:p w14:paraId="59B7D9E2">
      <w:pPr>
        <w:spacing w:line="360" w:lineRule="auto"/>
        <w:ind w:firstLine="440" w:firstLineChars="200"/>
        <w:rPr>
          <w:rFonts w:ascii="Times New Roman" w:hAnsi="Times New Roman" w:eastAsia="黑体"/>
          <w:sz w:val="22"/>
          <w:szCs w:val="22"/>
        </w:rPr>
      </w:pPr>
    </w:p>
    <w:p w14:paraId="4D61F05F">
      <w:pPr>
        <w:spacing w:line="360" w:lineRule="auto"/>
        <w:ind w:firstLine="440" w:firstLineChars="200"/>
        <w:rPr>
          <w:rFonts w:ascii="Times New Roman" w:hAnsi="Times New Roman"/>
          <w:i/>
          <w:sz w:val="22"/>
          <w:szCs w:val="22"/>
          <w:u w:val="single"/>
        </w:rPr>
      </w:pPr>
      <w:r>
        <w:rPr>
          <w:rFonts w:hint="eastAsia" w:ascii="Times New Roman" w:hAnsi="Times New Roman" w:eastAsia="黑体"/>
          <w:sz w:val="22"/>
          <w:szCs w:val="22"/>
        </w:rPr>
        <w:t>九</w:t>
      </w:r>
      <w:r>
        <w:rPr>
          <w:rFonts w:ascii="Times New Roman" w:hAnsi="Times New Roman" w:eastAsia="黑体"/>
          <w:sz w:val="22"/>
          <w:szCs w:val="22"/>
        </w:rPr>
        <w:t>、统计学处理</w:t>
      </w:r>
    </w:p>
    <w:p w14:paraId="3F7E5993">
      <w:pPr>
        <w:spacing w:line="360" w:lineRule="auto"/>
        <w:rPr>
          <w:rFonts w:eastAsia="黑体"/>
          <w:sz w:val="22"/>
          <w:szCs w:val="22"/>
        </w:rPr>
      </w:pPr>
      <w:r>
        <w:rPr>
          <w:rFonts w:ascii="宋体" w:hAnsi="宋体" w:cs="宋体"/>
          <w:bCs/>
          <w:color w:val="000000"/>
          <w:spacing w:val="2"/>
        </w:rPr>
        <w:t xml:space="preserve">本研究以描述性统计为主。计量资料根据分布情况采用均数±标准差或中位数（四分位数）表示，计数资料采用例数和百分比表示；组间比较根据资料类型采用t检验、Mann-Whitney U检验、χ²检验或Fisher精确检验。病因构成随时间的变化趋势采用Cochran-Armitage趋势检验，并以入院时间为连续变量建立多分类logistic回归模型；如可获得同期本院儿外科住院量作为分母，进一步采用Poisson回归或负二项回归估计年度发病率的变化趋势。年龄组与病因类别的关联采用Fisher精确检验，并报告Cramér's V。病因判定由2名研究者独立完成，采用Cohen κ评价一致性，分歧由第三方仲裁。院内不良结局因预期事件数较少，仅作描述性呈现，不进行组间推断。双侧P＜0.05认为差异有统计学意义。</w:t>
      </w:r>
    </w:p>
    <w:p w14:paraId="781FBE68">
      <w:pPr>
        <w:spacing w:line="360" w:lineRule="auto"/>
        <w:rPr>
          <w:rFonts w:ascii="Times New Roman" w:hAnsi="Times New Roman" w:eastAsia="黑体"/>
          <w:sz w:val="22"/>
          <w:szCs w:val="22"/>
        </w:rPr>
      </w:pPr>
    </w:p>
    <w:p w14:paraId="5C191914">
      <w:pPr>
        <w:spacing w:line="360" w:lineRule="auto"/>
        <w:ind w:firstLine="440" w:firstLineChars="200"/>
        <w:rPr>
          <w:rFonts w:ascii="Times New Roman" w:hAnsi="Times New Roman" w:eastAsia="黑体"/>
          <w:b/>
          <w:sz w:val="22"/>
          <w:szCs w:val="22"/>
        </w:rPr>
      </w:pPr>
      <w:r>
        <w:rPr>
          <w:rFonts w:hint="eastAsia" w:ascii="Times New Roman" w:hAnsi="Times New Roman" w:eastAsia="黑体"/>
          <w:sz w:val="22"/>
          <w:szCs w:val="22"/>
        </w:rPr>
        <w:t>十</w:t>
      </w:r>
      <w:r>
        <w:rPr>
          <w:rFonts w:ascii="Times New Roman" w:hAnsi="Times New Roman" w:eastAsia="黑体"/>
          <w:sz w:val="22"/>
          <w:szCs w:val="22"/>
        </w:rPr>
        <w:t>、临床研究伦理原则与要求</w:t>
      </w:r>
    </w:p>
    <w:p w14:paraId="684D716A">
      <w:pPr>
        <w:spacing w:line="360" w:lineRule="auto"/>
        <w:rPr>
          <w:rFonts w:ascii="宋体" w:hAnsi="宋体" w:cs="宋体"/>
          <w:bCs/>
          <w:color w:val="000000"/>
          <w:spacing w:val="2"/>
        </w:rPr>
      </w:pPr>
      <w:r>
        <w:rPr>
          <w:rFonts w:ascii="宋体" w:hAnsi="宋体" w:cs="宋体"/>
          <w:bCs/>
          <w:color w:val="000000"/>
          <w:spacing w:val="2"/>
        </w:rPr>
        <w:t xml:space="preserve">本研究仅利用既往住院病历资料进行回顾性分析，病例时间跨度达十年，早期病例预留的联系方式大量失效或变更，已无法联系受试者及其监护人，且研究不涉及个人隐私和商业利益；据此已向本院医学伦理委员会申请并获批免除全部受试者签署知情同意书。全部研究数据经去标识化处理后分析。研究资料将保存在武汉儿童医院，研究者、研究主管部门及伦理审查委员会可按规定查看；研究结果公开发表时不会披露受试者个人身份信息。</w:t>
      </w:r>
    </w:p>
    <w:p w14:paraId="26143BA5">
      <w:pPr>
        <w:spacing w:line="360" w:lineRule="auto"/>
        <w:ind w:firstLine="440" w:firstLineChars="200"/>
        <w:rPr>
          <w:rFonts w:ascii="Times New Roman" w:hAnsi="Times New Roman"/>
          <w:color w:val="FF0000"/>
          <w:sz w:val="22"/>
          <w:szCs w:val="22"/>
        </w:rPr>
      </w:pPr>
    </w:p>
    <w:p w14:paraId="1D33A580">
      <w:pPr>
        <w:spacing w:line="360" w:lineRule="auto"/>
        <w:ind w:firstLine="440" w:firstLineChars="200"/>
        <w:rPr>
          <w:rFonts w:ascii="Times New Roman" w:hAnsi="Times New Roman" w:eastAsia="黑体"/>
          <w:sz w:val="22"/>
          <w:szCs w:val="22"/>
        </w:rPr>
      </w:pPr>
      <w:r>
        <w:rPr>
          <w:rFonts w:ascii="Times New Roman" w:hAnsi="Times New Roman" w:eastAsia="黑体"/>
          <w:sz w:val="22"/>
          <w:szCs w:val="22"/>
        </w:rPr>
        <w:t>十一、研究进度</w:t>
      </w:r>
    </w:p>
    <w:p w14:paraId="3BB996EF">
      <w:pPr>
        <w:spacing w:line="360" w:lineRule="auto"/>
        <w:ind w:firstLine="440" w:firstLineChars="200"/>
        <w:rPr>
          <w:sz w:val="22"/>
          <w:szCs w:val="22"/>
        </w:rPr>
      </w:pPr>
      <w:r>
        <w:rPr>
          <w:sz w:val="22"/>
          <w:szCs w:val="22"/>
        </w:rPr>
        <w:t xml:space="preserve">2026年7月-2026年9月：完成病例检索及住院期间临床资料的提取、归纳和整理；</w:t>
      </w:r>
    </w:p>
    <w:p w14:paraId="5FC8DE8F">
      <w:pPr>
        <w:spacing w:line="360" w:lineRule="auto"/>
        <w:ind w:firstLine="440" w:firstLineChars="200"/>
        <w:rPr>
          <w:sz w:val="22"/>
          <w:szCs w:val="22"/>
        </w:rPr>
      </w:pPr>
      <w:r>
        <w:rPr>
          <w:rFonts w:hint="eastAsia"/>
          <w:sz w:val="22"/>
          <w:szCs w:val="22"/>
        </w:rPr>
        <w:t xml:space="preserve">2026年10月-2026年12月：依据修订后的纳入排除标准完成入组筛选，完成病因的双人独立裁定与一致性评价，并完成病因构成、时间趋势及住院期间临床资料的统计分析；</w:t>
      </w:r>
    </w:p>
    <w:p w14:paraId="012A1403">
      <w:pPr>
        <w:spacing w:line="360" w:lineRule="auto"/>
        <w:ind w:firstLine="440" w:firstLineChars="200"/>
        <w:rPr>
          <w:sz w:val="22"/>
          <w:szCs w:val="22"/>
        </w:rPr>
      </w:pPr>
      <w:r>
        <w:rPr>
          <w:rFonts w:hint="eastAsia"/>
          <w:sz w:val="22"/>
          <w:szCs w:val="22"/>
        </w:rPr>
        <w:t>2027年1月-2027年6月：完成研究总结和论文撰写，形成可投稿的学术论文。</w:t>
      </w:r>
    </w:p>
    <w:p w14:paraId="1E9CC920">
      <w:pPr>
        <w:spacing w:line="360" w:lineRule="auto"/>
        <w:ind w:firstLine="440" w:firstLineChars="200"/>
        <w:rPr>
          <w:rFonts w:ascii="Times New Roman" w:hAnsi="Times New Roman" w:eastAsia="黑体"/>
          <w:sz w:val="22"/>
          <w:szCs w:val="22"/>
        </w:rPr>
      </w:pPr>
    </w:p>
    <w:p w14:paraId="5FCC077C">
      <w:pPr>
        <w:spacing w:line="360" w:lineRule="auto"/>
        <w:ind w:firstLine="440" w:firstLineChars="200"/>
        <w:rPr>
          <w:rFonts w:ascii="Times New Roman" w:hAnsi="Times New Roman" w:eastAsia="黑体"/>
          <w:sz w:val="22"/>
          <w:szCs w:val="22"/>
        </w:rPr>
      </w:pPr>
      <w:r>
        <w:rPr>
          <w:rFonts w:ascii="Times New Roman" w:hAnsi="Times New Roman" w:eastAsia="黑体"/>
          <w:sz w:val="22"/>
          <w:szCs w:val="22"/>
        </w:rPr>
        <w:t>十二、参加人员</w:t>
      </w:r>
    </w:p>
    <w:p w14:paraId="1C7735B8">
      <w:r>
        <w:t>作者贡献说明：舒俊与杨俊构思并设计了本研究；舒俊和卞红强完成数据收集与分析工作；舒俊撰写初稿；杨俊全程指导研究开展，并对稿件进行关键性修改；所有作者均已审阅并同意最终版本。</w:t>
      </w:r>
    </w:p>
    <w:tbl>
      <w:tblPr>
        <w:tblStyle w:val="10"/>
        <w:tblW w:w="9781" w:type="dxa"/>
        <w:tblInd w:w="108"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663"/>
        <w:gridCol w:w="1785"/>
        <w:gridCol w:w="1837"/>
        <w:gridCol w:w="2516"/>
        <w:gridCol w:w="1980"/>
      </w:tblGrid>
      <w:tr w14:paraId="50B80549">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505" w:hRule="atLeast"/>
        </w:trPr>
        <w:tc>
          <w:tcPr>
            <w:tcW w:w="1663" w:type="dxa"/>
          </w:tcPr>
          <w:p w14:paraId="2556A6E4">
            <w:pPr>
              <w:autoSpaceDE w:val="0"/>
              <w:autoSpaceDN w:val="0"/>
              <w:adjustRightInd w:val="0"/>
              <w:spacing w:line="360" w:lineRule="auto"/>
              <w:rPr>
                <w:rFonts w:ascii="Times New Roman" w:hAnsi="Times New Roman"/>
                <w:b/>
                <w:color w:val="000000"/>
                <w:kern w:val="0"/>
                <w:szCs w:val="20"/>
              </w:rPr>
            </w:pPr>
            <w:r>
              <w:rPr>
                <w:rFonts w:ascii="Times New Roman" w:hAnsi="Times New Roman"/>
                <w:b/>
                <w:color w:val="000000"/>
                <w:kern w:val="0"/>
                <w:szCs w:val="20"/>
              </w:rPr>
              <w:t>姓名</w:t>
            </w:r>
          </w:p>
        </w:tc>
        <w:tc>
          <w:tcPr>
            <w:tcW w:w="1785" w:type="dxa"/>
          </w:tcPr>
          <w:p w14:paraId="56725DB7">
            <w:pPr>
              <w:autoSpaceDE w:val="0"/>
              <w:autoSpaceDN w:val="0"/>
              <w:adjustRightInd w:val="0"/>
              <w:spacing w:line="360" w:lineRule="auto"/>
              <w:rPr>
                <w:rFonts w:ascii="Times New Roman" w:hAnsi="Times New Roman"/>
                <w:b/>
                <w:color w:val="000000"/>
                <w:kern w:val="0"/>
                <w:szCs w:val="20"/>
              </w:rPr>
            </w:pPr>
            <w:r>
              <w:rPr>
                <w:rFonts w:ascii="Times New Roman" w:hAnsi="Times New Roman"/>
                <w:b/>
                <w:color w:val="000000"/>
                <w:kern w:val="0"/>
                <w:szCs w:val="20"/>
              </w:rPr>
              <w:t>职称</w:t>
            </w:r>
          </w:p>
        </w:tc>
        <w:tc>
          <w:tcPr>
            <w:tcW w:w="1837" w:type="dxa"/>
          </w:tcPr>
          <w:p w14:paraId="5C311FEC">
            <w:pPr>
              <w:autoSpaceDE w:val="0"/>
              <w:autoSpaceDN w:val="0"/>
              <w:adjustRightInd w:val="0"/>
              <w:spacing w:line="360" w:lineRule="auto"/>
              <w:rPr>
                <w:rFonts w:ascii="Times New Roman" w:hAnsi="Times New Roman"/>
                <w:b/>
                <w:color w:val="000000"/>
                <w:kern w:val="0"/>
                <w:szCs w:val="20"/>
              </w:rPr>
            </w:pPr>
            <w:r>
              <w:rPr>
                <w:rFonts w:ascii="Times New Roman" w:hAnsi="Times New Roman"/>
                <w:b/>
                <w:color w:val="000000"/>
                <w:kern w:val="0"/>
                <w:szCs w:val="20"/>
              </w:rPr>
              <w:t>专业</w:t>
            </w:r>
          </w:p>
        </w:tc>
        <w:tc>
          <w:tcPr>
            <w:tcW w:w="2516" w:type="dxa"/>
          </w:tcPr>
          <w:p w14:paraId="463BC452">
            <w:pPr>
              <w:autoSpaceDE w:val="0"/>
              <w:autoSpaceDN w:val="0"/>
              <w:adjustRightInd w:val="0"/>
              <w:spacing w:line="360" w:lineRule="auto"/>
              <w:rPr>
                <w:rFonts w:ascii="Times New Roman" w:hAnsi="Times New Roman"/>
                <w:b/>
                <w:color w:val="000000"/>
                <w:kern w:val="0"/>
                <w:szCs w:val="20"/>
              </w:rPr>
            </w:pPr>
            <w:r>
              <w:rPr>
                <w:rFonts w:ascii="Times New Roman" w:hAnsi="Times New Roman"/>
                <w:b/>
                <w:color w:val="000000"/>
                <w:kern w:val="0"/>
                <w:szCs w:val="20"/>
              </w:rPr>
              <w:t>任务</w:t>
            </w:r>
          </w:p>
        </w:tc>
        <w:tc>
          <w:tcPr>
            <w:tcW w:w="1980" w:type="dxa"/>
            <w:vAlign w:val="center"/>
          </w:tcPr>
          <w:p w14:paraId="32A087F5">
            <w:pPr>
              <w:jc w:val="center"/>
              <w:rPr>
                <w:rFonts w:ascii="Times New Roman" w:hAnsi="Times New Roman"/>
                <w:b/>
                <w:color w:val="FF0000"/>
                <w:sz w:val="22"/>
                <w:szCs w:val="22"/>
              </w:rPr>
            </w:pPr>
            <w:r>
              <w:rPr>
                <w:rFonts w:ascii="Times New Roman" w:hAnsi="Times New Roman"/>
                <w:b/>
                <w:color w:val="FF0000"/>
                <w:kern w:val="0"/>
                <w:szCs w:val="20"/>
              </w:rPr>
              <w:t>GCP培训（时间）</w:t>
            </w:r>
          </w:p>
        </w:tc>
      </w:tr>
      <w:tr w14:paraId="75E01212">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520" w:hRule="atLeast"/>
        </w:trPr>
        <w:tc>
          <w:tcPr>
            <w:tcW w:w="1663" w:type="dxa"/>
            <w:shd w:val="clear" w:color="auto" w:fill="auto"/>
          </w:tcPr>
          <w:p w14:paraId="550B0E95">
            <w:r>
              <w:t>舒俊</w:t>
            </w:r>
          </w:p>
        </w:tc>
        <w:tc>
          <w:tcPr>
            <w:tcW w:w="1785" w:type="dxa"/>
            <w:shd w:val="clear" w:color="auto" w:fill="auto"/>
          </w:tcPr>
          <w:p w14:paraId="1A22851A">
            <w:r>
              <w:t>主治医师</w:t>
            </w:r>
          </w:p>
        </w:tc>
        <w:tc>
          <w:tcPr>
            <w:tcW w:w="1837" w:type="dxa"/>
            <w:shd w:val="clear" w:color="auto" w:fill="auto"/>
          </w:tcPr>
          <w:p w14:paraId="7EFF04A7">
            <w:r>
              <w:t>胃肠外科</w:t>
            </w:r>
          </w:p>
        </w:tc>
        <w:tc>
          <w:tcPr>
            <w:tcW w:w="2516" w:type="dxa"/>
            <w:shd w:val="clear" w:color="auto" w:fill="auto"/>
          </w:tcPr>
          <w:p w14:paraId="3E3E1AC9">
            <w:r>
              <w:t>舒俊与杨俊构思并设计了本研究；舒俊和卞红强完成数据收集与分析工作；舒俊撰写初稿；已审阅并同意最终版本</w:t>
            </w:r>
          </w:p>
        </w:tc>
        <w:tc>
          <w:tcPr>
            <w:tcW w:w="1980" w:type="dxa"/>
          </w:tcPr>
          <w:p w14:paraId="663CBBDF"/>
        </w:tc>
      </w:tr>
      <w:tr w14:paraId="4870ED5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520" w:hRule="atLeast"/>
        </w:trPr>
        <w:tc>
          <w:tcPr>
            <w:tcW w:w="1663" w:type="dxa"/>
            <w:shd w:val="clear" w:color="auto" w:fill="auto"/>
          </w:tcPr>
          <w:p w14:paraId="64900488">
            <w:r>
              <w:t>杨俊</w:t>
            </w:r>
          </w:p>
        </w:tc>
        <w:tc>
          <w:tcPr>
            <w:tcW w:w="1785" w:type="dxa"/>
            <w:shd w:val="clear" w:color="auto" w:fill="auto"/>
          </w:tcPr>
          <w:p w14:paraId="7B3A6C3B">
            <w:r>
              <w:t>主任医师</w:t>
            </w:r>
          </w:p>
        </w:tc>
        <w:tc>
          <w:tcPr>
            <w:tcW w:w="1837" w:type="dxa"/>
            <w:shd w:val="clear" w:color="auto" w:fill="auto"/>
          </w:tcPr>
          <w:p w14:paraId="7C2E6F22">
            <w:r>
              <w:t>胃肠外科</w:t>
            </w:r>
          </w:p>
        </w:tc>
        <w:tc>
          <w:tcPr>
            <w:tcW w:w="2516" w:type="dxa"/>
            <w:shd w:val="clear" w:color="auto" w:fill="auto"/>
          </w:tcPr>
          <w:p w14:paraId="4A821605">
            <w:r>
              <w:t>杨俊与舒俊构思并设计了本研究；全程指导研究开展，并对稿件进行关键性修改；已审阅并同意最终版本</w:t>
            </w:r>
          </w:p>
        </w:tc>
        <w:tc>
          <w:tcPr>
            <w:tcW w:w="1980" w:type="dxa"/>
          </w:tcPr>
          <w:p w14:paraId="17C40FD3"/>
        </w:tc>
      </w:tr>
      <w:tr w14:paraId="5D892DC6">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520" w:hRule="atLeast"/>
        </w:trPr>
        <w:tc>
          <w:tcPr>
            <w:tcW w:w="1663" w:type="dxa"/>
            <w:shd w:val="clear" w:color="auto" w:fill="auto"/>
          </w:tcPr>
          <w:p w14:paraId="592BCFE9">
            <w:r>
              <w:t>卞红强</w:t>
            </w:r>
          </w:p>
        </w:tc>
        <w:tc>
          <w:tcPr>
            <w:tcW w:w="1785" w:type="dxa"/>
            <w:shd w:val="clear" w:color="auto" w:fill="auto"/>
          </w:tcPr>
          <w:p w14:paraId="0CDC7B09">
            <w:r>
              <w:t>主任医师</w:t>
            </w:r>
          </w:p>
        </w:tc>
        <w:tc>
          <w:tcPr>
            <w:tcW w:w="1837" w:type="dxa"/>
            <w:shd w:val="clear" w:color="auto" w:fill="auto"/>
          </w:tcPr>
          <w:p w14:paraId="0901041E">
            <w:r>
              <w:t>胃肠外科</w:t>
            </w:r>
          </w:p>
        </w:tc>
        <w:tc>
          <w:tcPr>
            <w:tcW w:w="2516" w:type="dxa"/>
            <w:shd w:val="clear" w:color="auto" w:fill="auto"/>
          </w:tcPr>
          <w:p w14:paraId="1B991E96">
            <w:r>
              <w:t>卞红强与舒俊完成数据收集与分析工作；已审阅并同意最终版本</w:t>
            </w:r>
          </w:p>
        </w:tc>
        <w:tc>
          <w:tcPr>
            <w:tcW w:w="1980" w:type="dxa"/>
          </w:tcPr>
          <w:p w14:paraId="2E8CB1AF"/>
        </w:tc>
      </w:tr>
      <w:tr w14:paraId="791C05DD">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520" w:hRule="atLeast"/>
        </w:trPr>
        <w:tc>
          <w:tcPr>
            <w:tcW w:w="1663" w:type="dxa"/>
            <w:shd w:val="clear" w:color="auto" w:fill="auto"/>
          </w:tcPr>
          <w:p w14:paraId="130CBDD0"/>
        </w:tc>
        <w:tc>
          <w:tcPr>
            <w:tcW w:w="1785" w:type="dxa"/>
            <w:shd w:val="clear" w:color="auto" w:fill="auto"/>
          </w:tcPr>
          <w:p w14:paraId="1E622C29"/>
        </w:tc>
        <w:tc>
          <w:tcPr>
            <w:tcW w:w="1837" w:type="dxa"/>
            <w:shd w:val="clear" w:color="auto" w:fill="auto"/>
          </w:tcPr>
          <w:p w14:paraId="105FB92F"/>
        </w:tc>
        <w:tc>
          <w:tcPr>
            <w:tcW w:w="2516" w:type="dxa"/>
            <w:shd w:val="clear" w:color="auto" w:fill="auto"/>
          </w:tcPr>
          <w:p w14:paraId="48FF7CE2"/>
        </w:tc>
        <w:tc>
          <w:tcPr>
            <w:tcW w:w="1980" w:type="dxa"/>
          </w:tcPr>
          <w:p w14:paraId="142FA679"/>
        </w:tc>
      </w:tr>
      <w:tr w14:paraId="303809B3">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535" w:hRule="atLeast"/>
        </w:trPr>
        <w:tc>
          <w:tcPr>
            <w:tcW w:w="1663" w:type="dxa"/>
            <w:shd w:val="clear" w:color="auto" w:fill="auto"/>
          </w:tcPr>
          <w:p w14:paraId="708418C5"/>
        </w:tc>
        <w:tc>
          <w:tcPr>
            <w:tcW w:w="1785" w:type="dxa"/>
            <w:shd w:val="clear" w:color="auto" w:fill="auto"/>
          </w:tcPr>
          <w:p w14:paraId="55D90505"/>
        </w:tc>
        <w:tc>
          <w:tcPr>
            <w:tcW w:w="1837" w:type="dxa"/>
            <w:shd w:val="clear" w:color="auto" w:fill="auto"/>
          </w:tcPr>
          <w:p w14:paraId="3CD7CB48"/>
        </w:tc>
        <w:tc>
          <w:tcPr>
            <w:tcW w:w="2516" w:type="dxa"/>
            <w:shd w:val="clear" w:color="auto" w:fill="auto"/>
          </w:tcPr>
          <w:p w14:paraId="55FCE354"/>
        </w:tc>
        <w:tc>
          <w:tcPr>
            <w:tcW w:w="1980" w:type="dxa"/>
          </w:tcPr>
          <w:p w14:paraId="4E3E3EC8"/>
        </w:tc>
      </w:tr>
      <w:tr w14:paraId="42870FCB">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535" w:hRule="atLeast"/>
        </w:trPr>
        <w:tc>
          <w:tcPr>
            <w:tcW w:w="1663" w:type="dxa"/>
            <w:shd w:val="clear" w:color="auto" w:fill="auto"/>
          </w:tcPr>
          <w:p w14:paraId="6216C864"/>
        </w:tc>
        <w:tc>
          <w:tcPr>
            <w:tcW w:w="1785" w:type="dxa"/>
            <w:shd w:val="clear" w:color="auto" w:fill="auto"/>
          </w:tcPr>
          <w:p w14:paraId="366B4A5B"/>
        </w:tc>
        <w:tc>
          <w:tcPr>
            <w:tcW w:w="1837" w:type="dxa"/>
            <w:shd w:val="clear" w:color="auto" w:fill="auto"/>
          </w:tcPr>
          <w:p w14:paraId="54AF13A3"/>
        </w:tc>
        <w:tc>
          <w:tcPr>
            <w:tcW w:w="2516" w:type="dxa"/>
            <w:shd w:val="clear" w:color="auto" w:fill="auto"/>
          </w:tcPr>
          <w:p w14:paraId="4DC5D1D3"/>
        </w:tc>
        <w:tc>
          <w:tcPr>
            <w:tcW w:w="1980" w:type="dxa"/>
          </w:tcPr>
          <w:p w14:paraId="019A10A4"/>
        </w:tc>
      </w:tr>
      <w:tr w14:paraId="4E1A3A28">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535" w:hRule="atLeast"/>
        </w:trPr>
        <w:tc>
          <w:tcPr>
            <w:tcW w:w="1663" w:type="dxa"/>
            <w:shd w:val="clear" w:color="auto" w:fill="auto"/>
          </w:tcPr>
          <w:p w14:paraId="7B5805B5"/>
        </w:tc>
        <w:tc>
          <w:tcPr>
            <w:tcW w:w="1785" w:type="dxa"/>
            <w:shd w:val="clear" w:color="auto" w:fill="auto"/>
          </w:tcPr>
          <w:p w14:paraId="2F8E3BF9"/>
        </w:tc>
        <w:tc>
          <w:tcPr>
            <w:tcW w:w="1837" w:type="dxa"/>
            <w:shd w:val="clear" w:color="auto" w:fill="auto"/>
          </w:tcPr>
          <w:p w14:paraId="05C4CBFF"/>
        </w:tc>
        <w:tc>
          <w:tcPr>
            <w:tcW w:w="2516" w:type="dxa"/>
            <w:shd w:val="clear" w:color="auto" w:fill="auto"/>
          </w:tcPr>
          <w:p w14:paraId="28A80512"/>
        </w:tc>
        <w:tc>
          <w:tcPr>
            <w:tcW w:w="1980" w:type="dxa"/>
          </w:tcPr>
          <w:p w14:paraId="04890B77"/>
        </w:tc>
      </w:tr>
      <w:tr w14:paraId="051456B4">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535" w:hRule="atLeast"/>
        </w:trPr>
        <w:tc>
          <w:tcPr>
            <w:tcW w:w="1663" w:type="dxa"/>
            <w:shd w:val="clear" w:color="auto" w:fill="auto"/>
          </w:tcPr>
          <w:p w14:paraId="3D715454"/>
        </w:tc>
        <w:tc>
          <w:tcPr>
            <w:tcW w:w="1785" w:type="dxa"/>
            <w:shd w:val="clear" w:color="auto" w:fill="auto"/>
          </w:tcPr>
          <w:p w14:paraId="0DBDCBBC"/>
        </w:tc>
        <w:tc>
          <w:tcPr>
            <w:tcW w:w="1837" w:type="dxa"/>
            <w:shd w:val="clear" w:color="auto" w:fill="auto"/>
          </w:tcPr>
          <w:p w14:paraId="0C7E40C0"/>
        </w:tc>
        <w:tc>
          <w:tcPr>
            <w:tcW w:w="2516" w:type="dxa"/>
            <w:shd w:val="clear" w:color="auto" w:fill="auto"/>
          </w:tcPr>
          <w:p w14:paraId="0CFB40A2"/>
        </w:tc>
        <w:tc>
          <w:tcPr>
            <w:tcW w:w="1980" w:type="dxa"/>
          </w:tcPr>
          <w:p w14:paraId="1AA02726"/>
        </w:tc>
      </w:tr>
      <w:tr w14:paraId="70337A7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535" w:hRule="atLeast"/>
        </w:trPr>
        <w:tc>
          <w:tcPr>
            <w:tcW w:w="1663" w:type="dxa"/>
            <w:shd w:val="clear" w:color="auto" w:fill="auto"/>
          </w:tcPr>
          <w:p w14:paraId="17762F90"/>
        </w:tc>
        <w:tc>
          <w:tcPr>
            <w:tcW w:w="1785" w:type="dxa"/>
            <w:shd w:val="clear" w:color="auto" w:fill="auto"/>
          </w:tcPr>
          <w:p w14:paraId="72C97A76"/>
        </w:tc>
        <w:tc>
          <w:tcPr>
            <w:tcW w:w="1837" w:type="dxa"/>
            <w:shd w:val="clear" w:color="auto" w:fill="auto"/>
          </w:tcPr>
          <w:p w14:paraId="203D5F5F"/>
        </w:tc>
        <w:tc>
          <w:tcPr>
            <w:tcW w:w="2516" w:type="dxa"/>
            <w:shd w:val="clear" w:color="auto" w:fill="auto"/>
          </w:tcPr>
          <w:p w14:paraId="6A9AB169"/>
        </w:tc>
        <w:tc>
          <w:tcPr>
            <w:tcW w:w="1980" w:type="dxa"/>
          </w:tcPr>
          <w:p w14:paraId="745855AE"/>
        </w:tc>
      </w:tr>
      <w:tr w14:paraId="65CFAF4F">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535" w:hRule="atLeast"/>
        </w:trPr>
        <w:tc>
          <w:tcPr>
            <w:tcW w:w="1663" w:type="dxa"/>
            <w:shd w:val="clear" w:color="auto" w:fill="auto"/>
          </w:tcPr>
          <w:p w14:paraId="5B9F8EA2"/>
        </w:tc>
        <w:tc>
          <w:tcPr>
            <w:tcW w:w="1785" w:type="dxa"/>
            <w:shd w:val="clear" w:color="auto" w:fill="auto"/>
          </w:tcPr>
          <w:p w14:paraId="7B6B8397"/>
        </w:tc>
        <w:tc>
          <w:tcPr>
            <w:tcW w:w="1837" w:type="dxa"/>
            <w:shd w:val="clear" w:color="auto" w:fill="auto"/>
          </w:tcPr>
          <w:p w14:paraId="7799AE8D"/>
        </w:tc>
        <w:tc>
          <w:tcPr>
            <w:tcW w:w="2516" w:type="dxa"/>
            <w:shd w:val="clear" w:color="auto" w:fill="auto"/>
          </w:tcPr>
          <w:p w14:paraId="36F6AD22"/>
        </w:tc>
        <w:tc>
          <w:tcPr>
            <w:tcW w:w="1980" w:type="dxa"/>
          </w:tcPr>
          <w:p w14:paraId="7B1B5DE0"/>
        </w:tc>
      </w:tr>
    </w:tbl>
    <w:p w14:paraId="7CC4ABBB">
      <w:pPr>
        <w:spacing w:line="360" w:lineRule="auto"/>
        <w:rPr>
          <w:rFonts w:ascii="Times New Roman" w:hAnsi="Times New Roman" w:eastAsia="黑体"/>
          <w:sz w:val="22"/>
          <w:szCs w:val="22"/>
        </w:rPr>
      </w:pPr>
    </w:p>
    <w:p w14:paraId="2D2DCA41">
      <w:pPr>
        <w:spacing w:line="360" w:lineRule="auto"/>
        <w:ind w:firstLine="440" w:firstLineChars="200"/>
        <w:rPr>
          <w:sz w:val="22"/>
          <w:szCs w:val="22"/>
        </w:rPr>
      </w:pPr>
      <w:r>
        <w:rPr>
          <w:rFonts w:ascii="Times New Roman" w:hAnsi="Times New Roman" w:eastAsia="黑体"/>
          <w:sz w:val="22"/>
          <w:szCs w:val="22"/>
        </w:rPr>
        <w:t>主要参考文献</w:t>
      </w:r>
      <w:r>
        <w:rPr>
          <w:rFonts w:hint="eastAsia"/>
          <w:sz w:val="22"/>
          <w:szCs w:val="22"/>
        </w:rPr>
        <w:fldChar w:fldCharType="begin"/>
        <w:instrText xml:space="preserve"> ADDIN NE.Bib</w:instrText>
        <w:fldChar w:fldCharType="separate"/>
      </w:r>
    </w:p>
    <w:p w14:paraId="1AC2984E">
      <w:pPr>
        <w:spacing w:line="360" w:lineRule="auto"/>
        <w:ind w:firstLine="440" w:firstLineChars="200"/>
        <w:rPr>
          <w:sz w:val="22"/>
          <w:szCs w:val="22"/>
        </w:rPr>
      </w:pPr>
      <w:r>
        <w:rPr>
          <w:sz w:val="22"/>
          <w:szCs w:val="22"/>
        </w:rPr>
        <w:t xml:space="preserve">[1]. Yan X, et al. Gastroduodenal perforation in the pediatric population: a retrospective analysis of 20 cases. Pediatr Surg Int, 2019. PMID: 30448888.</w:t>
      </w:r>
      <w:bookmarkStart w:id="0" w:name="_neb2C61D12C_C3E3_480E_ADD6_98334C1A30FD"/>
      <w:bookmarkEnd w:id="0"/>
    </w:p>
    <w:p w14:paraId="2B640667">
      <w:pPr>
        <w:spacing w:line="360" w:lineRule="auto"/>
        <w:ind w:firstLine="440" w:firstLineChars="200"/>
        <w:rPr>
          <w:sz w:val="22"/>
          <w:szCs w:val="22"/>
        </w:rPr>
      </w:pPr>
      <w:r>
        <w:rPr>
          <w:sz w:val="22"/>
          <w:szCs w:val="22"/>
        </w:rPr>
        <w:t xml:space="preserve">[2]. Wang K, et al. Pediatric gastric perforation beyond neonatal period: 8-year experience with 20 patients. Pediatr Neonatol, 2019. PMID: 30992193.</w:t>
      </w:r>
      <w:bookmarkStart w:id="1" w:name="_nebC3CB7CDD_C1D0_45CA_8D23_A656D0A42D33"/>
      <w:bookmarkEnd w:id="1"/>
    </w:p>
    <w:p w14:paraId="649AE983">
      <w:pPr>
        <w:spacing w:line="360" w:lineRule="auto"/>
        <w:ind w:firstLine="440" w:firstLineChars="200"/>
        <w:rPr>
          <w:sz w:val="22"/>
          <w:szCs w:val="22"/>
        </w:rPr>
      </w:pPr>
      <w:r>
        <w:rPr>
          <w:sz w:val="22"/>
          <w:szCs w:val="22"/>
        </w:rPr>
        <w:t xml:space="preserve">[3]. Takamoto N, et al. Clinical course and management of pediatric gastroduodenal perforation beyond neonatal period. Pediatr Neonatol, 2025. PMID: 39709268.</w:t>
      </w:r>
      <w:bookmarkStart w:id="6" w:name="_GoBack"/>
      <w:bookmarkEnd w:id="6"/>
      <w:bookmarkStart w:id="2" w:name="_neb44D3461C_9696_4DEF_BA95_24590E73552F"/>
      <w:bookmarkEnd w:id="2"/>
    </w:p>
    <w:p w14:paraId="5D304275">
      <w:pPr>
        <w:spacing w:line="360" w:lineRule="auto"/>
        <w:ind w:firstLine="440" w:firstLineChars="200"/>
        <w:rPr>
          <w:sz w:val="22"/>
          <w:szCs w:val="22"/>
        </w:rPr>
      </w:pPr>
      <w:r>
        <w:rPr>
          <w:sz w:val="22"/>
          <w:szCs w:val="22"/>
        </w:rPr>
        <w:t xml:space="preserve">[4]. Vidović S, et al. Perforated peptic ulcers in children: a systematic review. BMC Pediatr, 2025. PMID: 40335985.</w:t>
      </w:r>
      <w:bookmarkStart w:id="3" w:name="_neb0D1ECE4D_9C63_45D0_AA4C_22776CCA770A"/>
      <w:bookmarkEnd w:id="3"/>
    </w:p>
    <w:p w14:paraId="3367F322">
      <w:pPr>
        <w:spacing w:line="360" w:lineRule="auto"/>
        <w:ind w:firstLine="440" w:firstLineChars="200"/>
        <w:rPr>
          <w:sz w:val="22"/>
          <w:szCs w:val="22"/>
        </w:rPr>
      </w:pPr>
      <w:r>
        <w:rPr>
          <w:sz w:val="22"/>
          <w:szCs w:val="22"/>
        </w:rPr>
        <w:t xml:space="preserve">[5]. Yang T, et al. Neonatal Gastric Perforation: Case Series and Literature Review. World J Surg, 2018. PMID: 29392435.</w:t>
      </w:r>
      <w:bookmarkStart w:id="4" w:name="_neb54421ABC_6273_4E8C_8D8D_BFCD755AB120"/>
      <w:bookmarkEnd w:id="4"/>
    </w:p>
    <w:p>
      <w:pPr>
        <w:spacing w:line="360" w:lineRule="auto"/>
        <w:ind w:firstLine="440" w:firstLineChars="200"/>
        <w:rPr>
          <w:sz w:val="22"/>
          <w:szCs w:val="22"/>
        </w:rPr>
      </w:pPr>
      <w:r>
        <w:rPr>
          <w:sz w:val="22"/>
          <w:szCs w:val="22"/>
        </w:rPr>
        <w:t xml:space="preserve">[6]. Fang Y, et al. Clinical characteristics and mortality prediction in neonatal gastric perforation: Insights from a regional multicenter retrospective cohort study. J Pediatr Surg, 2026. PMID: 41974396.</w:t>
      </w:r>
    </w:p>
    <w:p>
      <w:pPr>
        <w:spacing w:line="360" w:lineRule="auto"/>
        <w:ind w:firstLine="440" w:firstLineChars="200"/>
        <w:rPr>
          <w:sz w:val="22"/>
          <w:szCs w:val="22"/>
        </w:rPr>
      </w:pPr>
      <w:r>
        <w:rPr>
          <w:sz w:val="22"/>
          <w:szCs w:val="22"/>
        </w:rPr>
        <w:t xml:space="preserve">[7]. Wang K, et al. Multicenter investigation of pediatric gastrointestinal tract magnets ingestion in China. BMC Pediatr, 2020. PMID: 32111182.</w:t>
      </w:r>
    </w:p>
    <w:p>
      <w:pPr>
        <w:spacing w:line="360" w:lineRule="auto"/>
        <w:ind w:firstLine="440" w:firstLineChars="200"/>
        <w:rPr>
          <w:sz w:val="22"/>
          <w:szCs w:val="22"/>
        </w:rPr>
      </w:pPr>
      <w:r>
        <w:rPr>
          <w:sz w:val="22"/>
          <w:szCs w:val="22"/>
        </w:rPr>
        <w:t xml:space="preserve">[8]. Middelberg LK, et al. Magnet Injuries in Children: An Analysis of the National Poison Data System from 2008 to 2019. J Pediatr, 2021. PMID: 33516676.</w:t>
      </w:r>
    </w:p>
    <w:p w14:paraId="61AB19A7">
      <w:pPr>
        <w:spacing w:line="360" w:lineRule="auto"/>
        <w:ind w:firstLine="440" w:firstLineChars="200"/>
        <w:rPr>
          <w:sz w:val="22"/>
          <w:szCs w:val="22"/>
        </w:rPr>
      </w:pPr>
      <w:bookmarkStart w:id="5" w:name="_neb835D0912_5F7C_48E8_832F_827890C95473"/>
      <w:bookmarkEnd w:id="5"/>
    </w:p>
    <w:p w14:paraId="3B340419">
      <w:pPr>
        <w:spacing w:line="360" w:lineRule="auto"/>
        <w:ind w:firstLine="440" w:firstLineChars="200"/>
        <w:rPr>
          <w:sz w:val="22"/>
          <w:szCs w:val="22"/>
        </w:rPr>
      </w:pPr>
      <w:r>
        <w:rPr>
          <w:rFonts w:hint="eastAsia"/>
          <w:sz w:val="22"/>
          <w:szCs w:val="22"/>
        </w:rPr>
        <w:fldChar w:fldCharType="end"/>
        <w:fldChar w:fldCharType="begin"/>
        <w:instrText xml:space="preserve"> ADDIN NE.Rep</w:instrText>
        <w:fldChar w:fldCharType="separate"/>
      </w:r>
    </w:p>
    <w:p w14:paraId="069B6DAD">
      <w:pPr>
        <w:spacing w:line="360" w:lineRule="auto"/>
        <w:ind w:firstLine="440" w:firstLineChars="200"/>
        <w:rPr>
          <w:rFonts w:ascii="Times New Roman" w:hAnsi="Times New Roman"/>
          <w:szCs w:val="21"/>
        </w:rPr>
      </w:pPr>
      <w:r>
        <w:rPr>
          <w:rFonts w:hint="eastAsia"/>
          <w:sz w:val="22"/>
          <w:szCs w:val="22"/>
        </w:rPr>
        <w:fldChar w:fldCharType="end"/>
      </w:r>
    </w:p>
    <w:sectPr>
      <w:headerReference r:id="rId4" w:type="first"/>
      <w:footerReference r:id="rId7" w:type="first"/>
      <w:headerReference r:id="rId3" w:type="default"/>
      <w:footerReference r:id="rId5" w:type="default"/>
      <w:footerReference r:id="rId6" w:type="even"/>
      <w:type w:val="continuous"/>
      <w:pgSz w:w="11906" w:h="16838"/>
      <w:pgMar w:top="1440" w:right="1080" w:bottom="1440" w:left="1080" w:header="851" w:footer="992" w:gutter="0"/>
      <w:pgNumType w:start="1"/>
      <w:cols w:space="720" w:num="1"/>
      <w:titlePg/>
      <w:docGrid w:type="linesAndChars" w:linePitch="34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roma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28E83">
    <w:pPr>
      <w:pStyle w:val="6"/>
      <w:tabs>
        <w:tab w:val="center" w:pos="4156"/>
        <w:tab w:val="clear" w:pos="4153"/>
      </w:tabs>
      <w:ind w:right="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8420" cy="139700"/>
              <wp:effectExtent l="0" t="0" r="0" b="0"/>
              <wp:wrapNone/>
              <wp:docPr id="2" name="文本框 24"/>
              <wp:cNvGraphicFramePr/>
              <a:graphic xmlns:a="http://schemas.openxmlformats.org/drawingml/2006/main">
                <a:graphicData uri="http://schemas.microsoft.com/office/word/2010/wordprocessingShape">
                  <wps:wsp>
                    <wps:cNvSpPr txBox="1"/>
                    <wps:spPr>
                      <a:xfrm>
                        <a:off x="0" y="0"/>
                        <a:ext cx="58420" cy="139700"/>
                      </a:xfrm>
                      <a:prstGeom prst="rect">
                        <a:avLst/>
                      </a:prstGeom>
                      <a:noFill/>
                      <a:ln>
                        <a:noFill/>
                      </a:ln>
                      <a:effectLst/>
                    </wps:spPr>
                    <wps:txbx>
                      <w:txbxContent>
                        <w:p w14:paraId="06C6F630">
                          <w:pPr>
                            <w:pStyle w:val="6"/>
                          </w:pP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p>
                      </w:txbxContent>
                    </wps:txbx>
                    <wps:bodyPr wrap="none" lIns="0" tIns="0" rIns="0" bIns="0">
                      <a:spAutoFit/>
                    </wps:bodyPr>
                  </wps:wsp>
                </a:graphicData>
              </a:graphic>
            </wp:anchor>
          </w:drawing>
        </mc:Choice>
        <mc:Fallback>
          <w:pict>
            <v:shape id="文本框 24" o:spid="_x0000_s1026" o:spt="202" type="#_x0000_t202" style="position:absolute;left:0pt;margin-top:0pt;height:11pt;width:4.6pt;mso-position-horizontal:center;mso-position-horizontal-relative:margin;mso-wrap-style:none;z-index:251659264;mso-width-relative:page;mso-height-relative:page;" filled="f" stroked="f" coordsize="21600,21600" o:gfxdata="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y1u5d9AAAAACAQAADwAAAAAAAAABACAAAAAiAAAAZHJzL2Rvd25y&#10;ZXYueG1sUEsBAhQAFAAAAAgAh07iQNIXZ87NAQAAmQMAAA4AAAAAAAAAAQAgAAAAHwEAAGRycy9l&#10;Mm9Eb2MueG1sUEsFBgAAAAAGAAYAWQEAAF4FAAAAAA==&#10;">
              <v:fill on="f" focussize="0,0"/>
              <v:stroke on="f"/>
              <v:imagedata o:title=""/>
              <o:lock v:ext="edit" aspectratio="f"/>
              <v:textbox inset="0mm,0mm,0mm,0mm" style="mso-fit-shape-to-text:t;">
                <w:txbxContent>
                  <w:p w14:paraId="06C6F630">
                    <w:pPr>
                      <w:pStyle w:val="6"/>
                    </w:pP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27E58">
    <w:pPr>
      <w:pStyle w:val="6"/>
      <w:framePr w:wrap="around" w:vAnchor="text" w:hAnchor="margin" w:xAlign="right" w:y="1"/>
      <w:rPr>
        <w:rStyle w:val="12"/>
      </w:rPr>
    </w:pPr>
    <w:r>
      <w:fldChar w:fldCharType="begin"/>
    </w:r>
    <w:r>
      <w:rPr>
        <w:rStyle w:val="12"/>
      </w:rPr>
      <w:instrText xml:space="preserve">PAGE  </w:instrText>
    </w:r>
    <w:r>
      <w:fldChar w:fldCharType="end"/>
    </w:r>
  </w:p>
  <w:p w14:paraId="57DE21FB">
    <w:pPr>
      <w:pStyle w:val="6"/>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A492C">
    <w:pPr>
      <w:pStyle w:val="6"/>
      <w:tabs>
        <w:tab w:val="center" w:pos="4156"/>
        <w:tab w:val="clear" w:pos="4153"/>
      </w:tabs>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8420" cy="139700"/>
              <wp:effectExtent l="0" t="0" r="0" b="0"/>
              <wp:wrapNone/>
              <wp:docPr id="3" name="文本框 26"/>
              <wp:cNvGraphicFramePr/>
              <a:graphic xmlns:a="http://schemas.openxmlformats.org/drawingml/2006/main">
                <a:graphicData uri="http://schemas.microsoft.com/office/word/2010/wordprocessingShape">
                  <wps:wsp>
                    <wps:cNvSpPr txBox="1"/>
                    <wps:spPr>
                      <a:xfrm>
                        <a:off x="0" y="0"/>
                        <a:ext cx="58420" cy="139700"/>
                      </a:xfrm>
                      <a:prstGeom prst="rect">
                        <a:avLst/>
                      </a:prstGeom>
                      <a:noFill/>
                      <a:ln>
                        <a:noFill/>
                      </a:ln>
                      <a:effectLst/>
                    </wps:spPr>
                    <wps:txbx>
                      <w:txbxContent>
                        <w:p w14:paraId="77AE3B4C">
                          <w:pPr>
                            <w:pStyle w:val="6"/>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wrap="none" lIns="0" tIns="0" rIns="0" bIns="0">
                      <a:spAutoFit/>
                    </wps:bodyPr>
                  </wps:wsp>
                </a:graphicData>
              </a:graphic>
            </wp:anchor>
          </w:drawing>
        </mc:Choice>
        <mc:Fallback>
          <w:pict>
            <v:shape id="文本框 26" o:spid="_x0000_s1026" o:spt="202" type="#_x0000_t202" style="position:absolute;left:0pt;margin-top:0pt;height:11pt;width:4.6pt;mso-position-horizontal:center;mso-position-horizontal-relative:margin;mso-wrap-style:none;z-index:251660288;mso-width-relative:page;mso-height-relative:page;" filled="f" stroked="f" coordsize="21600,21600" o:gfxdata="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y1u5d9AAAAACAQAADwAAAAAAAAABACAAAAAiAAAAZHJzL2Rvd25y&#10;ZXYueG1sUEsBAhQAFAAAAAgAh07iQInAQ0fNAQAAmQMAAA4AAAAAAAAAAQAgAAAAHwEAAGRycy9l&#10;Mm9Eb2MueG1sUEsFBgAAAAAGAAYAWQEAAF4FAAAAAA==&#10;">
              <v:fill on="f" focussize="0,0"/>
              <v:stroke on="f"/>
              <v:imagedata o:title=""/>
              <o:lock v:ext="edit" aspectratio="f"/>
              <v:textbox inset="0mm,0mm,0mm,0mm" style="mso-fit-shape-to-text:t;">
                <w:txbxContent>
                  <w:p w14:paraId="77AE3B4C">
                    <w:pPr>
                      <w:pStyle w:val="6"/>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8122E">
    <w:pPr>
      <w:pBdr>
        <w:bottom w:val="single" w:color="auto" w:sz="6" w:space="1"/>
      </w:pBdr>
      <w:tabs>
        <w:tab w:val="center" w:pos="4153"/>
      </w:tabs>
      <w:snapToGrid w:val="0"/>
      <w:jc w:val="left"/>
      <w:rPr>
        <w:b/>
        <w:szCs w:val="21"/>
      </w:rPr>
    </w:pPr>
    <w:r>
      <w:rPr>
        <w:rFonts w:hint="eastAsia"/>
        <w:b/>
        <w:szCs w:val="21"/>
      </w:rPr>
      <w:t>武汉儿童医院</w:t>
    </w:r>
    <w:r>
      <w:rPr>
        <w:b/>
        <w:szCs w:val="21"/>
      </w:rPr>
      <w:tab/>
    </w:r>
    <w:r>
      <w:rPr>
        <w:rFonts w:hint="eastAsia"/>
        <w:b/>
        <w:szCs w:val="21"/>
      </w:rPr>
      <w:t>版本号：V1.1版本日期：</w:t>
    </w:r>
    <w:r>
      <w:rPr>
        <w:rFonts w:ascii="Times New Roman" w:hAnsi="Times New Roman"/>
        <w:b/>
        <w:szCs w:val="21"/>
      </w:rPr>
      <w:t>20</w:t>
    </w:r>
    <w:r>
      <w:rPr>
        <w:rFonts w:hint="eastAsia" w:ascii="Times New Roman" w:hAnsi="Times New Roman"/>
        <w:b/>
        <w:szCs w:val="21"/>
      </w:rPr>
      <w:t>26/08/07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B23C6">
    <w:pPr>
      <w:pBdr>
        <w:bottom w:val="single" w:color="auto" w:sz="6" w:space="1"/>
      </w:pBdr>
      <w:tabs>
        <w:tab w:val="center" w:pos="4153"/>
      </w:tabs>
      <w:snapToGrid w:val="0"/>
      <w:jc w:val="left"/>
      <w:rPr>
        <w:b/>
        <w:szCs w:val="21"/>
      </w:rPr>
    </w:pPr>
    <w:r>
      <w:rPr>
        <w:rFonts w:hint="eastAsia"/>
        <w:b/>
        <w:szCs w:val="21"/>
      </w:rPr>
      <w:t>武汉儿童医院</w:t>
    </w:r>
    <w:r>
      <w:rPr>
        <w:b/>
        <w:szCs w:val="21"/>
      </w:rPr>
      <w:tab/>
    </w:r>
    <w:r>
      <w:rPr>
        <w:rFonts w:hint="eastAsia"/>
        <w:b/>
        <w:szCs w:val="21"/>
      </w:rPr>
      <w:t>版本号：V1.1版本日期：</w:t>
    </w:r>
    <w:r>
      <w:rPr>
        <w:rFonts w:ascii="Times New Roman" w:hAnsi="Times New Roman"/>
        <w:b/>
        <w:szCs w:val="21"/>
      </w:rPr>
      <w:t>20</w:t>
    </w:r>
    <w:r>
      <w:rPr>
        <w:rFonts w:hint="eastAsia" w:ascii="Times New Roman" w:hAnsi="Times New Roman"/>
        <w:b/>
        <w:szCs w:val="21"/>
      </w:rPr>
      <w:t>26/08/07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7C9E8B"/>
    <w:multiLevelType w:val="singleLevel"/>
    <w:tmpl w:val="5C7C9E8B"/>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341"/>
  <w:displayHorizontalDrawingGridEvery w:val="0"/>
  <w:characterSpacingControl w:val="compressPunctuation"/>
  <w:noLineBreaksAfter w:lang="zh-CN" w:val="([{·‘“〈《「『【〔〖（．［｛￡￥"/>
  <w:noLineBreaksBefore w:lang="zh-CN" w:val="!),.:;?]}¨·ˇˉ―‖’”…∶、。〃々〉》」』】〕〗！＂＇），．：；？］｀｜｝～￠"/>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iNzhmZTVhMzYxNjJkMTMwNWU4NTIzNzE4MzBiZjAifQ=="/>
    <w:docVar w:name="NE.Ref{32141503-36D2-4685-A8D5-2C9F15A191C8}" w:val=" ADDIN NE.Ref.{32141503-36D2-4685-A8D5-2C9F15A191C8}&lt;Citation&gt;&lt;Group&gt;&lt;References&gt;&lt;Item&gt;&lt;ID&gt;549&lt;/ID&gt;&lt;UID&gt;{835D0912-5F7C-48E8-832F-827890C95473}&lt;/UID&gt;&lt;Title&gt;Wandering Spleen and Organoaxial Gastric Volvulus after Morgagni Hernia Repair: A Case Report and Review of the Literature&lt;/Title&gt;&lt;Template&gt;Journal Article&lt;/Template&gt;&lt;Star&gt;0&lt;/Star&gt;&lt;Tag&gt;0&lt;/Tag&gt;&lt;Author&gt;Cantone, Noemi; Gulia, Caterina; Miele, Vittorio; Trinci, Margherita; Briganti, Vito&lt;/Author&gt;&lt;Year&gt;2016&lt;/Year&gt;&lt;Details&gt;&lt;_date_display&gt;2016&lt;/_date_display&gt;&lt;_date&gt;2016-01-01&lt;/_date&gt;&lt;_doi&gt;10.1155/2016/6450765&lt;/_doi&gt;&lt;_isbn&gt;2090-6900&lt;/_isbn&gt;&lt;_journal&gt;Case reports in surgery&lt;/_journal&gt;&lt;_pages&gt;6450765-6450765&lt;/_pages&gt;&lt;_place_published&gt;United States&lt;/_place_published&gt;&lt;_url&gt;https://pubmed.ncbi.nlm.nih.gov/27703832_x000d__x000a_https://www.ncbi.nlm.nih.gov/pmc/articles/PMC5039297/&lt;/_url&gt;&lt;_volume&gt;2016&lt;/_volume&gt;&lt;_created&gt;66226941&lt;/_created&gt;&lt;_modified&gt;66226941&lt;/_modified&gt;&lt;_db_updated&gt;PubMed&lt;/_db_updated&gt;&lt;_impact_factor&gt;   0.600&lt;/_impact_factor&gt;&lt;_social_category&gt;外科(4)&lt;/_social_category&gt;&lt;_collection_scope&gt;ESCI&lt;/_collection_scope&gt;&lt;/Details&gt;&lt;Extra&gt;&lt;DBUID&gt;{03752FAB-B361-4F66-989B-C711D9502F78}&lt;/DBUID&gt;&lt;/Extra&gt;&lt;/Item&gt;&lt;/References&gt;&lt;/Group&gt;&lt;/Citation&gt;_x000a_"/>
    <w:docVar w:name="NE.Ref{AD71F7F0-A2D4-4C31-B6AA-8B2E1F59ED4D}" w:val=" ADDIN NE.Ref.{AD71F7F0-A2D4-4C31-B6AA-8B2E1F59ED4D}&lt;Citation&gt;&lt;Group&gt;&lt;References&gt;&lt;Item&gt;&lt;ID&gt;547&lt;/ID&gt;&lt;UID&gt;{2C61D12C-C3E3-480E-ADD6-98334C1A30FD}&lt;/UID&gt;&lt;Title&gt;Laparoscopic management of gastric volvulus, diaphragmatic eventration and wandering spleen in a child&lt;/Title&gt;&lt;Template&gt;Journal Article&lt;/Template&gt;&lt;Star&gt;1&lt;/Star&gt;&lt;Tag&gt;5&lt;/Tag&gt;&lt;Author&gt;Kataria, Riya; Sundaram, Jegadeesh; Agarwal, Prakash; Lal, Tusharindra&lt;/Author&gt;&lt;Year&gt;2021&lt;/Year&gt;&lt;Details&gt;&lt;_date_display&gt;2021/06/23&lt;/_date_display&gt;&lt;_date&gt;2021-06-23&lt;/_date&gt;&lt;_doi&gt;10.1136/bcr-2021-242441&lt;/_doi&gt;&lt;_isbn&gt;1757-790X&lt;/_isbn&gt;&lt;_issue&gt;6&lt;/_issue&gt;&lt;_journal&gt;BMJ case reports&lt;/_journal&gt;&lt;_keywords&gt;congenital disorders; paediatric surgery; paediatrics; radiology; ultrasonography; Adolescent; Child; *Diaphragmatic Eventration/complications/diagnostic imaging/surgery; Humans; *Laparoscopy; Ligaments; *Stomach Volvulus/diagnostic imaging/surgery; *Wandering Spleen/complications/diagnostic imaging/surgery&lt;/_keywords&gt;&lt;_pages&gt;e242441&lt;/_pages&gt;&lt;_place_published&gt;England&lt;/_place_published&gt;&lt;_url&gt;https://pubmed.ncbi.nlm.nih.gov/34162614_x000d__x000a_https://www.ncbi.nlm.nih.gov/pmc/articles/PMC8231058/&lt;/_url&gt;&lt;_volume&gt;14&lt;/_volume&gt;&lt;_created&gt;66226937&lt;/_created&gt;&lt;_modified&gt;66226942&lt;/_modified&gt;&lt;_db_updated&gt;PubMed&lt;/_db_updated&gt;&lt;_impact_factor&gt;   0.600&lt;/_impact_factor&gt;&lt;_social_category&gt;医学：内科(4)&lt;/_social_category&gt;&lt;_collection_scope&gt;ESCI&lt;/_collection_scope&gt;&lt;/Details&gt;&lt;Extra&gt;&lt;DBUID&gt;{03752FAB-B361-4F66-989B-C711D9502F78}&lt;/DBUID&gt;&lt;/Extra&gt;&lt;/Item&gt;&lt;/References&gt;&lt;/Group&gt;&lt;Group&gt;&lt;References&gt;&lt;Item&gt;&lt;ID&gt;548&lt;/ID&gt;&lt;UID&gt;{C3CB7CDD-C1D0-45CA-8D23-A656D0A42D33}&lt;/UID&gt;&lt;Title&gt;Laparoscopic retroperitoneal splenopexy for wandering spleen: A novel technique using a three-incision retroperitoneal pouch&lt;/Title&gt;&lt;Template&gt;Journal Article&lt;/Template&gt;&lt;Star&gt;0&lt;/Star&gt;&lt;Tag&gt;5&lt;/Tag&gt;&lt;Author&gt;Umeda, Satoshi; Kimura, Koki; Takama, Yuichi; Yamauchi, Katsuji; Yonekura, Takeo&lt;/Author&gt;&lt;Year&gt;2021&lt;/Year&gt;&lt;Details&gt;&lt;_date_display&gt;2021/07/&lt;/_date_display&gt;&lt;_date&gt;2021-07-01&lt;/_date&gt;&lt;_doi&gt;10.1111/ases.12894&lt;/_doi&gt;&lt;_isbn&gt;1758-5910&lt;/_isbn&gt;&lt;_issue&gt;3&lt;/_issue&gt;&lt;_journal&gt;Asian journal of endoscopic surgery&lt;/_journal&gt;&lt;_keywords&gt;laparoscopic surgery; pocket splenopexy; retroperitoneal pouch; wandering spleen; Child; Humans; *Laparoscopy; Male; *Retroperitoneal Space/surgery; Stomach Volvulus/complications/*surgery; *Wandering Spleen/complications/surgery&lt;/_keywords&gt;&lt;_pages&gt;644-647&lt;/_pages&gt;&lt;_place_published&gt;Japan&lt;/_place_published&gt;&lt;_url&gt;https://pubmed.ncbi.nlm.nih.gov/33210467&lt;/_url&gt;&lt;_volume&gt;14&lt;/_volume&gt;&lt;_created&gt;66226939&lt;/_created&gt;&lt;_modified&gt;66226942&lt;/_modified&gt;&lt;_db_updated&gt;PubMed&lt;/_db_updated&gt;&lt;_impact_factor&gt;   0.900&lt;/_impact_factor&gt;&lt;_social_category&gt;骨科(4)&lt;/_social_category&gt;&lt;_collection_scope&gt;ESCI&lt;/_collection_scope&gt;&lt;/Details&gt;&lt;Extra&gt;&lt;DBUID&gt;{03752FAB-B361-4F66-989B-C711D9502F78}&lt;/DBUID&gt;&lt;/Extra&gt;&lt;/Item&gt;&lt;/References&gt;&lt;/Group&gt;&lt;Group&gt;&lt;References&gt;&lt;Item&gt;&lt;ID&gt;545&lt;/ID&gt;&lt;UID&gt;{44D3461C-9696-4DEF-BA95-24590E73552F}&lt;/UID&gt;&lt;Title&gt;Patients with gastric volvulus recurrence have high incidence of wandering spleen requiring laparoscopic gastropexy and splenopexy&lt;/Title&gt;&lt;Template&gt;Journal Article&lt;/Template&gt;&lt;Star&gt;0&lt;/Star&gt;&lt;Tag&gt;5&lt;/Tag&gt;&lt;Author&gt;Nakagawa, Yoichi; Uchida, Hiroo; Amano, Hizuru; Hinoki, Akinari; Tainaka, Takahisa; Shirota, Chiyoe; Sumida, Wataru; Yokota, Kazuki; Makita, Satoshi; Okamoto, Masamune; Takimoto, Aitaro; Yasui, Akihiro; Takada, Shunya; Kato, Daiki&lt;/Author&gt;&lt;Year&gt;2022&lt;/Year&gt;&lt;Details&gt;&lt;_date_display&gt;2022/06/&lt;/_date_display&gt;&lt;_date&gt;2022-06-01&lt;/_date&gt;&lt;_doi&gt;10.1007/s00383-022-05125-y&lt;/_doi&gt;&lt;_isbn&gt;1437-9813&lt;/_isbn&gt;&lt;_issue&gt;6&lt;/_issue&gt;&lt;_journal&gt;Pediatric surgery international&lt;/_journal&gt;&lt;_keywords&gt;Extraperitoneal pocket; Gastric volvulus; Laparoscopic gastropexy; Laparoscopic splenopexy; Wandering spleen; Child; Child, Preschool; *Gastropexy/methods; Humans; Incidence; Infant; Infant, Newborn; *Laparoscopy/methods; Retrospective Studies; *Stomach Volvulus/complications/surgery; *Wandering Spleen/complications/diagnostic imaging/surgery&lt;/_keywords&gt;&lt;_pages&gt;875-881&lt;/_pages&gt;&lt;_place_published&gt;Germany&lt;/_place_published&gt;&lt;_url&gt;https://pubmed.ncbi.nlm.nih.gov/35391540&lt;/_url&gt;&lt;_volume&gt;38&lt;/_volume&gt;&lt;_created&gt;66226933&lt;/_created&gt;&lt;_modified&gt;66226942&lt;/_modified&gt;&lt;_db_updated&gt;PubMed&lt;/_db_updated&gt;&lt;_impact_factor&gt;   1.500&lt;/_impact_factor&gt;&lt;_social_category&gt;儿科(3) &amp;amp; 外科(3)&lt;/_social_category&gt;&lt;_collection_scope&gt;SCIE&lt;/_collection_scope&gt;&lt;/Details&gt;&lt;Extra&gt;&lt;DBUID&gt;{03752FAB-B361-4F66-989B-C711D9502F78}&lt;/DBUID&gt;&lt;/Extra&gt;&lt;/Item&gt;&lt;/References&gt;&lt;/Group&gt;&lt;Group&gt;&lt;References&gt;&lt;Item&gt;&lt;ID&gt;544&lt;/ID&gt;&lt;UID&gt;{0D1ECE4D-9C63-45D0-AA4C-22776CCA770A}&lt;/UID&gt;&lt;Title&gt;Successful laparoscopic-assisted partial splenectomy and splenopexy with umbilical approach to wandering spleen with an enlarged cyst in a pediatric patient&lt;/Title&gt;&lt;Template&gt;Journal Article&lt;/Template&gt;&lt;Star&gt;0&lt;/Star&gt;&lt;Tag&gt;5&lt;/Tag&gt;&lt;Author&gt;Ikeda, Taro; Hosokawa, Takashi; Goto, Shunpei; Hashimoto, Makoto; Nagasaki, Eri; Masuko, Takayuki&lt;/Author&gt;&lt;Year&gt;2022&lt;/Year&gt;&lt;Details&gt;&lt;_date_display&gt;2022/10/20&lt;/_date_display&gt;&lt;_date&gt;2022-10-20&lt;/_date&gt;&lt;_doi&gt;10.1093/jscr/rjac483&lt;/_doi&gt;&lt;_isbn&gt;2042-8812&lt;/_isbn&gt;&lt;_issue&gt;10&lt;/_issue&gt;&lt;_journal&gt;Journal of surgical case reports&lt;/_journal&gt;&lt;_pages&gt;rjac483-rjac483&lt;/_pages&gt;&lt;_place_published&gt;England&lt;/_place_published&gt;&lt;_url&gt;https://pubmed.ncbi.nlm.nih.gov/36285167_x000d__x000a_https://www.ncbi.nlm.nih.gov/pmc/articles/PMC9584345/&lt;/_url&gt;&lt;_volume&gt;2022&lt;/_volume&gt;&lt;_created&gt;66226932&lt;/_created&gt;&lt;_modified&gt;66226942&lt;/_modified&gt;&lt;_db_updated&gt;PubMed&lt;/_db_updated&gt;&lt;_impact_factor&gt;   0.400&lt;/_impact_factor&gt;&lt;_social_category&gt;外科(4)&lt;/_social_category&gt;&lt;_collection_scope&gt;ESCI&lt;/_collection_scope&gt;&lt;/Details&gt;&lt;Extra&gt;&lt;DBUID&gt;{03752FAB-B361-4F66-989B-C711D9502F78}&lt;/DBUID&gt;&lt;/Extra&gt;&lt;/Item&gt;&lt;/References&gt;&lt;/Group&gt;&lt;Group&gt;&lt;References&gt;&lt;Item&gt;&lt;ID&gt;546&lt;/ID&gt;&lt;UID&gt;{54421ABC-6273-4E8C-8D8D-BFCD755AB120}&lt;/UID&gt;&lt;Title&gt;Surgical Approach of Wandering Spleen in Infants and Children: A Systematic Review&lt;/Title&gt;&lt;Template&gt;Journal Article&lt;/Template&gt;&lt;Star&gt;0&lt;/Star&gt;&lt;Tag&gt;5&lt;/Tag&gt;&lt;Author&gt;Ganarin, Alba; Fascetti Leon, Francesco; La Pergola, Enrico; Gamba, Piergiorgio&lt;/Author&gt;&lt;Year&gt;2021&lt;/Year&gt;&lt;Details&gt;&lt;_date_display&gt;2021/04/&lt;/_date_display&gt;&lt;_date&gt;2021-04-01&lt;/_date&gt;&lt;_doi&gt;10.1089/lap.2020.0759&lt;/_doi&gt;&lt;_isbn&gt;1557-9034&lt;/_isbn&gt;&lt;_issue&gt;4&lt;/_issue&gt;&lt;_journal&gt;Journal of laparoendoscopic &amp;amp; advanced surgical techniques. Part A&lt;/_journal&gt;&lt;_keywords&gt;children; laparoscopy; minimally invasive surgery; spleen torsion; splenopexy; wandering spleen; Abdominal Pain/surgery; Abdominal Wall; Adolescent; Child; Child, Preschool; Female; Humans; Infant; Laparoscopy/*methods; Male; Minimally Invasive Surgical Procedures; Splenectomy/*methods; Splenic Diseases/*surgery; Torsion Abnormality/surgery; Wandering Spleen/*surgery&lt;/_keywords&gt;&lt;_pages&gt;468-477&lt;/_pages&gt;&lt;_place_published&gt;United States&lt;/_place_published&gt;&lt;_url&gt;https://pubmed.ncbi.nlm.nih.gov/33428514&lt;/_url&gt;&lt;_volume&gt;31&lt;/_volume&gt;&lt;_created&gt;66226934&lt;/_created&gt;&lt;_modified&gt;66226942&lt;/_modified&gt;&lt;_db_updated&gt;PubMed&lt;/_db_updated&gt;&lt;/Details&gt;&lt;Extra&gt;&lt;DBUID&gt;{03752FAB-B361-4F66-989B-C711D9502F78}&lt;/DBUID&gt;&lt;/Extra&gt;&lt;/Item&gt;&lt;/References&gt;&lt;/Group&gt;&lt;Group&gt;&lt;References&gt;&lt;Item&gt;&lt;ID&gt;549&lt;/ID&gt;&lt;UID&gt;{835D0912-5F7C-48E8-832F-827890C95473}&lt;/UID&gt;&lt;Title&gt;Wandering Spleen and Organoaxial Gastric Volvulus after Morgagni Hernia Repair: A Case Report and Review of the Literature&lt;/Title&gt;&lt;Template&gt;Journal Article&lt;/Template&gt;&lt;Star&gt;0&lt;/Star&gt;&lt;Tag&gt;5&lt;/Tag&gt;&lt;Author&gt;Cantone, Noemi; Gulia, Caterina; Miele, Vittorio; Trinci, Margherita; Briganti, Vito&lt;/Author&gt;&lt;Year&gt;2016&lt;/Year&gt;&lt;Details&gt;&lt;_date_display&gt;2016&lt;/_date_display&gt;&lt;_date&gt;2016-01-01&lt;/_date&gt;&lt;_doi&gt;10.1155/2016/6450765&lt;/_doi&gt;&lt;_isbn&gt;2090-6900&lt;/_isbn&gt;&lt;_journal&gt;Case reports in surgery&lt;/_journal&gt;&lt;_pages&gt;6450765-6450765&lt;/_pages&gt;&lt;_place_published&gt;United States&lt;/_place_published&gt;&lt;_url&gt;https://pubmed.ncbi.nlm.nih.gov/27703832_x000d__x000a_https://www.ncbi.nlm.nih.gov/pmc/articles/PMC5039297/&lt;/_url&gt;&lt;_volume&gt;2016&lt;/_volume&gt;&lt;_created&gt;66226941&lt;/_created&gt;&lt;_modified&gt;66226942&lt;/_modified&gt;&lt;_db_updated&gt;PubMed&lt;/_db_updated&gt;&lt;_impact_factor&gt;   0.600&lt;/_impact_factor&gt;&lt;_social_category&gt;外科(4)&lt;/_social_category&gt;&lt;_collection_scope&gt;ESCI&lt;/_collection_scope&gt;&lt;/Details&gt;&lt;Extra&gt;&lt;DBUID&gt;{03752FAB-B361-4F66-989B-C711D9502F78}&lt;/DBUID&gt;&lt;/Extra&gt;&lt;/Item&gt;&lt;/References&gt;&lt;/Group&gt;&lt;/Citation&gt;_x000a_"/>
    <w:docVar w:name="NE.Ref{DE213F76-0907-42C7-8A05-6360D31666F2}" w:val=" ADDIN NE.Ref.{DE213F76-0907-42C7-8A05-6360D31666F2}&lt;Citation&gt;&lt;Group&gt;&lt;References&gt;&lt;Item&gt;&lt;ID&gt;547&lt;/ID&gt;&lt;UID&gt;{2C61D12C-C3E3-480E-ADD6-98334C1A30FD}&lt;/UID&gt;&lt;Title&gt;Laparoscopic management of gastric volvulus, diaphragmatic eventration and wandering spleen in a child&lt;/Title&gt;&lt;Template&gt;Journal Article&lt;/Template&gt;&lt;Star&gt;0&lt;/Star&gt;&lt;Tag&gt;0&lt;/Tag&gt;&lt;Author&gt;Kataria, Riya; Sundaram, Jegadeesh; Agarwal, Prakash; Lal, Tusharindra&lt;/Author&gt;&lt;Year&gt;2021&lt;/Year&gt;&lt;Details&gt;&lt;_date_display&gt;2021/06/23&lt;/_date_display&gt;&lt;_date&gt;2021-06-23&lt;/_date&gt;&lt;_doi&gt;10.1136/bcr-2021-242441&lt;/_doi&gt;&lt;_isbn&gt;1757-790X&lt;/_isbn&gt;&lt;_issue&gt;6&lt;/_issue&gt;&lt;_journal&gt;BMJ case reports&lt;/_journal&gt;&lt;_keywords&gt;congenital disorders; paediatric surgery; paediatrics; radiology; ultrasonography; Adolescent; Child; *Diaphragmatic Eventration/complications/diagnostic imaging/surgery; Humans; *Laparoscopy; Ligaments; *Stomach Volvulus/diagnostic imaging/surgery; *Wandering Spleen/complications/diagnostic imaging/surgery&lt;/_keywords&gt;&lt;_pages&gt;e242441&lt;/_pages&gt;&lt;_place_published&gt;England&lt;/_place_published&gt;&lt;_url&gt;https://pubmed.ncbi.nlm.nih.gov/34162614_x000d__x000a_https://www.ncbi.nlm.nih.gov/pmc/articles/PMC8231058/&lt;/_url&gt;&lt;_volume&gt;14&lt;/_volume&gt;&lt;_created&gt;66226937&lt;/_created&gt;&lt;_modified&gt;66226938&lt;/_modified&gt;&lt;_db_updated&gt;PubMed&lt;/_db_updated&gt;&lt;_impact_factor&gt;   0.600&lt;/_impact_factor&gt;&lt;_social_category&gt;医学：内科(4)&lt;/_social_category&gt;&lt;_collection_scope&gt;ESCI&lt;/_collection_scope&gt;&lt;/Details&gt;&lt;Extra&gt;&lt;DBUID&gt;{03752FAB-B361-4F66-989B-C711D9502F78}&lt;/DBUID&gt;&lt;/Extra&gt;&lt;/Item&gt;&lt;/References&gt;&lt;/Group&gt;&lt;/Citation&gt;_x000a_"/>
    <w:docVar w:name="ne_docsoft" w:val="MSWord"/>
    <w:docVar w:name="ne_docversion" w:val="NoteExpress 2.0"/>
    <w:docVar w:name="ne_stylename" w:val="Numbered(multilingual)"/>
  </w:docVars>
  <w:rsids>
    <w:rsidRoot w:val="00172A27"/>
    <w:rsid w:val="00016C8D"/>
    <w:rsid w:val="000407F9"/>
    <w:rsid w:val="0004216B"/>
    <w:rsid w:val="00044A99"/>
    <w:rsid w:val="0006503D"/>
    <w:rsid w:val="0007490D"/>
    <w:rsid w:val="000764B0"/>
    <w:rsid w:val="00085299"/>
    <w:rsid w:val="00096C92"/>
    <w:rsid w:val="000B29F2"/>
    <w:rsid w:val="000B468B"/>
    <w:rsid w:val="000D666F"/>
    <w:rsid w:val="000D755A"/>
    <w:rsid w:val="000E26D2"/>
    <w:rsid w:val="0011250C"/>
    <w:rsid w:val="001147B2"/>
    <w:rsid w:val="001162A7"/>
    <w:rsid w:val="0012474A"/>
    <w:rsid w:val="001461BA"/>
    <w:rsid w:val="00157F5F"/>
    <w:rsid w:val="00162811"/>
    <w:rsid w:val="00172A27"/>
    <w:rsid w:val="0019117D"/>
    <w:rsid w:val="001A3A90"/>
    <w:rsid w:val="001A7F83"/>
    <w:rsid w:val="001B58C7"/>
    <w:rsid w:val="001B6EB9"/>
    <w:rsid w:val="001B78F1"/>
    <w:rsid w:val="001C03DA"/>
    <w:rsid w:val="001D0AE4"/>
    <w:rsid w:val="001D1508"/>
    <w:rsid w:val="001D5C23"/>
    <w:rsid w:val="001D7E45"/>
    <w:rsid w:val="001E2FFD"/>
    <w:rsid w:val="001F20D6"/>
    <w:rsid w:val="001F3DFE"/>
    <w:rsid w:val="00201F1A"/>
    <w:rsid w:val="002021B7"/>
    <w:rsid w:val="00214CCA"/>
    <w:rsid w:val="00226155"/>
    <w:rsid w:val="002319F0"/>
    <w:rsid w:val="00237FE5"/>
    <w:rsid w:val="00243258"/>
    <w:rsid w:val="00264E5A"/>
    <w:rsid w:val="0027278C"/>
    <w:rsid w:val="00275FFE"/>
    <w:rsid w:val="002930A6"/>
    <w:rsid w:val="002A639C"/>
    <w:rsid w:val="002D5AE7"/>
    <w:rsid w:val="002E4060"/>
    <w:rsid w:val="002E7219"/>
    <w:rsid w:val="00302420"/>
    <w:rsid w:val="00306DA5"/>
    <w:rsid w:val="00316565"/>
    <w:rsid w:val="00321F84"/>
    <w:rsid w:val="00324AA6"/>
    <w:rsid w:val="00330519"/>
    <w:rsid w:val="00341B11"/>
    <w:rsid w:val="00350C47"/>
    <w:rsid w:val="00353538"/>
    <w:rsid w:val="003537A4"/>
    <w:rsid w:val="003616F4"/>
    <w:rsid w:val="00363A3E"/>
    <w:rsid w:val="003664D9"/>
    <w:rsid w:val="003948BA"/>
    <w:rsid w:val="003A6E3D"/>
    <w:rsid w:val="003B251E"/>
    <w:rsid w:val="003B57C2"/>
    <w:rsid w:val="003C626E"/>
    <w:rsid w:val="003D1B4D"/>
    <w:rsid w:val="003E1350"/>
    <w:rsid w:val="003E21FE"/>
    <w:rsid w:val="003E398D"/>
    <w:rsid w:val="00413BA5"/>
    <w:rsid w:val="00417692"/>
    <w:rsid w:val="00422EFE"/>
    <w:rsid w:val="0042366B"/>
    <w:rsid w:val="004268F6"/>
    <w:rsid w:val="00433C56"/>
    <w:rsid w:val="0043588A"/>
    <w:rsid w:val="00456B93"/>
    <w:rsid w:val="00490934"/>
    <w:rsid w:val="0049471F"/>
    <w:rsid w:val="004A02B5"/>
    <w:rsid w:val="004A2CC4"/>
    <w:rsid w:val="004A6A12"/>
    <w:rsid w:val="004A7657"/>
    <w:rsid w:val="004B20CA"/>
    <w:rsid w:val="004B3360"/>
    <w:rsid w:val="004B4867"/>
    <w:rsid w:val="004C7F80"/>
    <w:rsid w:val="004E4674"/>
    <w:rsid w:val="005008FF"/>
    <w:rsid w:val="00510F86"/>
    <w:rsid w:val="0051299D"/>
    <w:rsid w:val="005147C6"/>
    <w:rsid w:val="00534DDD"/>
    <w:rsid w:val="00573E5B"/>
    <w:rsid w:val="00593116"/>
    <w:rsid w:val="00597BDD"/>
    <w:rsid w:val="005A460F"/>
    <w:rsid w:val="005A54FB"/>
    <w:rsid w:val="005C3439"/>
    <w:rsid w:val="005C43F9"/>
    <w:rsid w:val="005D2B44"/>
    <w:rsid w:val="005D7FEA"/>
    <w:rsid w:val="005F119D"/>
    <w:rsid w:val="006238CE"/>
    <w:rsid w:val="006271D2"/>
    <w:rsid w:val="00633CB9"/>
    <w:rsid w:val="006363C0"/>
    <w:rsid w:val="006366F1"/>
    <w:rsid w:val="00640076"/>
    <w:rsid w:val="006425B3"/>
    <w:rsid w:val="00646350"/>
    <w:rsid w:val="0065004A"/>
    <w:rsid w:val="006509B3"/>
    <w:rsid w:val="00651783"/>
    <w:rsid w:val="00651C48"/>
    <w:rsid w:val="00652392"/>
    <w:rsid w:val="00674F58"/>
    <w:rsid w:val="00675653"/>
    <w:rsid w:val="00677426"/>
    <w:rsid w:val="006A0940"/>
    <w:rsid w:val="006A6579"/>
    <w:rsid w:val="006D5ACD"/>
    <w:rsid w:val="006F5DDD"/>
    <w:rsid w:val="006F659F"/>
    <w:rsid w:val="007149F7"/>
    <w:rsid w:val="0072759B"/>
    <w:rsid w:val="007444F2"/>
    <w:rsid w:val="00746FF1"/>
    <w:rsid w:val="00747330"/>
    <w:rsid w:val="00747FF1"/>
    <w:rsid w:val="00757E25"/>
    <w:rsid w:val="007653B0"/>
    <w:rsid w:val="007706E3"/>
    <w:rsid w:val="007A659A"/>
    <w:rsid w:val="007B36F8"/>
    <w:rsid w:val="007B4B4B"/>
    <w:rsid w:val="007D1110"/>
    <w:rsid w:val="007D6E2C"/>
    <w:rsid w:val="007E1760"/>
    <w:rsid w:val="007F62D7"/>
    <w:rsid w:val="007F72DB"/>
    <w:rsid w:val="0080196C"/>
    <w:rsid w:val="00802EB1"/>
    <w:rsid w:val="00806FD8"/>
    <w:rsid w:val="00817E81"/>
    <w:rsid w:val="00856A50"/>
    <w:rsid w:val="00860D46"/>
    <w:rsid w:val="008637E5"/>
    <w:rsid w:val="00866FAB"/>
    <w:rsid w:val="008747C4"/>
    <w:rsid w:val="0087554D"/>
    <w:rsid w:val="008847B9"/>
    <w:rsid w:val="00885177"/>
    <w:rsid w:val="008A58C3"/>
    <w:rsid w:val="008A7BA1"/>
    <w:rsid w:val="008C38DA"/>
    <w:rsid w:val="008C68C8"/>
    <w:rsid w:val="008D1F6A"/>
    <w:rsid w:val="008D24C0"/>
    <w:rsid w:val="008D24FA"/>
    <w:rsid w:val="008D3160"/>
    <w:rsid w:val="008D44C2"/>
    <w:rsid w:val="008D4E81"/>
    <w:rsid w:val="00904783"/>
    <w:rsid w:val="00924AFB"/>
    <w:rsid w:val="00934023"/>
    <w:rsid w:val="009504C9"/>
    <w:rsid w:val="009531E0"/>
    <w:rsid w:val="00955F37"/>
    <w:rsid w:val="00956FFC"/>
    <w:rsid w:val="00973FD2"/>
    <w:rsid w:val="0097781F"/>
    <w:rsid w:val="00980A8C"/>
    <w:rsid w:val="009A3D6C"/>
    <w:rsid w:val="009C61FB"/>
    <w:rsid w:val="009C79ED"/>
    <w:rsid w:val="009D250C"/>
    <w:rsid w:val="009F0C21"/>
    <w:rsid w:val="00A04682"/>
    <w:rsid w:val="00A23B6D"/>
    <w:rsid w:val="00A265F8"/>
    <w:rsid w:val="00A314F7"/>
    <w:rsid w:val="00A40E1A"/>
    <w:rsid w:val="00A414C9"/>
    <w:rsid w:val="00A44C7D"/>
    <w:rsid w:val="00A45538"/>
    <w:rsid w:val="00A715A5"/>
    <w:rsid w:val="00A72FAD"/>
    <w:rsid w:val="00A75822"/>
    <w:rsid w:val="00A77382"/>
    <w:rsid w:val="00A95D3D"/>
    <w:rsid w:val="00AA327C"/>
    <w:rsid w:val="00AA76D6"/>
    <w:rsid w:val="00AB1C4F"/>
    <w:rsid w:val="00AB3074"/>
    <w:rsid w:val="00AC0390"/>
    <w:rsid w:val="00AC0488"/>
    <w:rsid w:val="00AD6622"/>
    <w:rsid w:val="00AD6970"/>
    <w:rsid w:val="00AE2BE9"/>
    <w:rsid w:val="00AF2B5C"/>
    <w:rsid w:val="00B062EA"/>
    <w:rsid w:val="00B07374"/>
    <w:rsid w:val="00B124E4"/>
    <w:rsid w:val="00B147BF"/>
    <w:rsid w:val="00B22390"/>
    <w:rsid w:val="00B40E9C"/>
    <w:rsid w:val="00B432E2"/>
    <w:rsid w:val="00B45AD6"/>
    <w:rsid w:val="00B801FD"/>
    <w:rsid w:val="00B86ACA"/>
    <w:rsid w:val="00B956B1"/>
    <w:rsid w:val="00BA124C"/>
    <w:rsid w:val="00BB336F"/>
    <w:rsid w:val="00BE03A1"/>
    <w:rsid w:val="00BE3B4E"/>
    <w:rsid w:val="00BF0211"/>
    <w:rsid w:val="00BF5BC8"/>
    <w:rsid w:val="00C01050"/>
    <w:rsid w:val="00C02E3D"/>
    <w:rsid w:val="00C0601E"/>
    <w:rsid w:val="00C37ABD"/>
    <w:rsid w:val="00C41AE3"/>
    <w:rsid w:val="00C54F08"/>
    <w:rsid w:val="00C62C4A"/>
    <w:rsid w:val="00C82714"/>
    <w:rsid w:val="00C84E7E"/>
    <w:rsid w:val="00C86E43"/>
    <w:rsid w:val="00C965B2"/>
    <w:rsid w:val="00CA3BE6"/>
    <w:rsid w:val="00CB7244"/>
    <w:rsid w:val="00CD1390"/>
    <w:rsid w:val="00CE164A"/>
    <w:rsid w:val="00CF0910"/>
    <w:rsid w:val="00CF4566"/>
    <w:rsid w:val="00CF7186"/>
    <w:rsid w:val="00CF740B"/>
    <w:rsid w:val="00D141C7"/>
    <w:rsid w:val="00D364B8"/>
    <w:rsid w:val="00D37AE2"/>
    <w:rsid w:val="00D40CB8"/>
    <w:rsid w:val="00D541DD"/>
    <w:rsid w:val="00D56C58"/>
    <w:rsid w:val="00D60B61"/>
    <w:rsid w:val="00D822E3"/>
    <w:rsid w:val="00DA30AD"/>
    <w:rsid w:val="00DB44AA"/>
    <w:rsid w:val="00DC01E6"/>
    <w:rsid w:val="00DD131D"/>
    <w:rsid w:val="00DF1CD2"/>
    <w:rsid w:val="00DF3739"/>
    <w:rsid w:val="00DF3C7A"/>
    <w:rsid w:val="00E04F4E"/>
    <w:rsid w:val="00E060F1"/>
    <w:rsid w:val="00E13BB8"/>
    <w:rsid w:val="00E30C8C"/>
    <w:rsid w:val="00E52E25"/>
    <w:rsid w:val="00E53CC6"/>
    <w:rsid w:val="00E54496"/>
    <w:rsid w:val="00E614BE"/>
    <w:rsid w:val="00E726F2"/>
    <w:rsid w:val="00E75F31"/>
    <w:rsid w:val="00E84B86"/>
    <w:rsid w:val="00E9505F"/>
    <w:rsid w:val="00EA1FD7"/>
    <w:rsid w:val="00EA79FD"/>
    <w:rsid w:val="00EF5B11"/>
    <w:rsid w:val="00F023F7"/>
    <w:rsid w:val="00F04A76"/>
    <w:rsid w:val="00F14279"/>
    <w:rsid w:val="00F43ADF"/>
    <w:rsid w:val="00F4527E"/>
    <w:rsid w:val="00F50448"/>
    <w:rsid w:val="00F5184B"/>
    <w:rsid w:val="00F57BEF"/>
    <w:rsid w:val="00F6113A"/>
    <w:rsid w:val="00F67E34"/>
    <w:rsid w:val="00F81596"/>
    <w:rsid w:val="00F836B1"/>
    <w:rsid w:val="00FB0279"/>
    <w:rsid w:val="00FB4BB9"/>
    <w:rsid w:val="00FB7AC9"/>
    <w:rsid w:val="00FC7290"/>
    <w:rsid w:val="00FE16D3"/>
    <w:rsid w:val="03D86229"/>
    <w:rsid w:val="03DA2461"/>
    <w:rsid w:val="044E341E"/>
    <w:rsid w:val="04CA4445"/>
    <w:rsid w:val="04E72F8A"/>
    <w:rsid w:val="05453E51"/>
    <w:rsid w:val="05781470"/>
    <w:rsid w:val="08AF6187"/>
    <w:rsid w:val="09C40388"/>
    <w:rsid w:val="0A984CF6"/>
    <w:rsid w:val="0B2F43D9"/>
    <w:rsid w:val="0B716C9F"/>
    <w:rsid w:val="132D0951"/>
    <w:rsid w:val="138362D9"/>
    <w:rsid w:val="14CC2A06"/>
    <w:rsid w:val="15C55175"/>
    <w:rsid w:val="16D03B92"/>
    <w:rsid w:val="19DD20A7"/>
    <w:rsid w:val="19EF60F0"/>
    <w:rsid w:val="1A3C5268"/>
    <w:rsid w:val="1D2F22A6"/>
    <w:rsid w:val="20447084"/>
    <w:rsid w:val="21147266"/>
    <w:rsid w:val="23D00BEF"/>
    <w:rsid w:val="262966FB"/>
    <w:rsid w:val="271438CE"/>
    <w:rsid w:val="289C6AC1"/>
    <w:rsid w:val="292A66AB"/>
    <w:rsid w:val="29AA6786"/>
    <w:rsid w:val="29DD0C13"/>
    <w:rsid w:val="2B59779B"/>
    <w:rsid w:val="2C122178"/>
    <w:rsid w:val="2DA3344D"/>
    <w:rsid w:val="2E872444"/>
    <w:rsid w:val="2F180A58"/>
    <w:rsid w:val="2FB62D3A"/>
    <w:rsid w:val="2FBE1951"/>
    <w:rsid w:val="305C1A57"/>
    <w:rsid w:val="307E1E35"/>
    <w:rsid w:val="32E005C3"/>
    <w:rsid w:val="32E8442E"/>
    <w:rsid w:val="37280564"/>
    <w:rsid w:val="3755666A"/>
    <w:rsid w:val="38601924"/>
    <w:rsid w:val="38E235A5"/>
    <w:rsid w:val="3B2277B1"/>
    <w:rsid w:val="3D535C51"/>
    <w:rsid w:val="3E1A3140"/>
    <w:rsid w:val="3F5B071F"/>
    <w:rsid w:val="41115345"/>
    <w:rsid w:val="430B2886"/>
    <w:rsid w:val="445F5D12"/>
    <w:rsid w:val="44E37591"/>
    <w:rsid w:val="47442ED2"/>
    <w:rsid w:val="47FFBE2D"/>
    <w:rsid w:val="48A634BB"/>
    <w:rsid w:val="49B54E71"/>
    <w:rsid w:val="4BB928E8"/>
    <w:rsid w:val="4BE35C3D"/>
    <w:rsid w:val="4F772933"/>
    <w:rsid w:val="4F9956F5"/>
    <w:rsid w:val="5081632B"/>
    <w:rsid w:val="510B17CE"/>
    <w:rsid w:val="52B2491B"/>
    <w:rsid w:val="53C01DF0"/>
    <w:rsid w:val="53D437BE"/>
    <w:rsid w:val="54777D2A"/>
    <w:rsid w:val="56F50847"/>
    <w:rsid w:val="579514C1"/>
    <w:rsid w:val="57D37D41"/>
    <w:rsid w:val="5B9D5349"/>
    <w:rsid w:val="5CFA74D5"/>
    <w:rsid w:val="5DDE3AF0"/>
    <w:rsid w:val="5F943A8A"/>
    <w:rsid w:val="65675444"/>
    <w:rsid w:val="6B486F1E"/>
    <w:rsid w:val="6BEF6CB8"/>
    <w:rsid w:val="6F99010C"/>
    <w:rsid w:val="71495FFA"/>
    <w:rsid w:val="779246C6"/>
    <w:rsid w:val="7D794D04"/>
    <w:rsid w:val="7E350F28"/>
    <w:rsid w:val="7F9F9699"/>
    <w:rsid w:val="7FD13EBD"/>
    <w:rsid w:val="BFF5E33B"/>
    <w:rsid w:val="FFCDF4D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nhideWhenUsed="0" w:uiPriority="99" w:semiHidden="0" w:name="heading 2"/>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0" w:name="toc 1" w:locked="1"/>
    <w:lsdException w:uiPriority="0" w:name="toc 2" w:locked="1"/>
    <w:lsdException w:uiPriority="0" w:name="toc 3" w:locked="1"/>
    <w:lsdException w:uiPriority="0" w:name="toc 4" w:locked="1"/>
    <w:lsdException w:uiPriority="0" w:name="toc 5" w:locked="1"/>
    <w:lsdException w:uiPriority="0" w:name="toc 6" w:locked="1"/>
    <w:lsdException w:uiPriority="0" w:name="toc 7" w:locked="1"/>
    <w:lsdException w:uiPriority="0" w:name="toc 8" w:locked="1"/>
    <w:lsdException w:uiPriority="0" w:name="toc 9" w:locked="1"/>
    <w:lsdException w:uiPriority="99" w:name="Normal Indent"/>
    <w:lsdException w:qFormat="1" w:unhideWhenUsed="0" w:uiPriority="99" w:semiHidden="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qFormat="1" w:unhideWhenUsed="0" w:uiPriority="99" w:semiHidden="0"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qFormat="1"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iPriority="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link w:val="26"/>
    <w:qFormat/>
    <w:uiPriority w:val="99"/>
    <w:pPr>
      <w:keepNext/>
      <w:widowControl/>
      <w:spacing w:before="240" w:after="60"/>
      <w:jc w:val="left"/>
      <w:outlineLvl w:val="1"/>
    </w:pPr>
    <w:rPr>
      <w:rFonts w:ascii="Arial" w:hAnsi="Arial"/>
      <w:b/>
      <w:bCs/>
      <w:i/>
      <w:iCs/>
      <w:kern w:val="0"/>
      <w:sz w:val="28"/>
      <w:szCs w:val="28"/>
      <w:lang w:eastAsia="en-U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21"/>
    <w:qFormat/>
    <w:uiPriority w:val="99"/>
    <w:rPr>
      <w:rFonts w:ascii="宋体" w:hAnsi="Courier New"/>
      <w:szCs w:val="20"/>
    </w:rPr>
  </w:style>
  <w:style w:type="paragraph" w:styleId="4">
    <w:name w:val="Date"/>
    <w:basedOn w:val="1"/>
    <w:next w:val="1"/>
    <w:link w:val="22"/>
    <w:qFormat/>
    <w:uiPriority w:val="99"/>
    <w:rPr>
      <w:kern w:val="0"/>
      <w:sz w:val="24"/>
    </w:rPr>
  </w:style>
  <w:style w:type="paragraph" w:styleId="5">
    <w:name w:val="Balloon Text"/>
    <w:basedOn w:val="1"/>
    <w:link w:val="18"/>
    <w:semiHidden/>
    <w:qFormat/>
    <w:uiPriority w:val="99"/>
    <w:rPr>
      <w:kern w:val="0"/>
      <w:sz w:val="2"/>
      <w:szCs w:val="20"/>
    </w:rPr>
  </w:style>
  <w:style w:type="paragraph" w:styleId="6">
    <w:name w:val="footer"/>
    <w:basedOn w:val="1"/>
    <w:link w:val="27"/>
    <w:qFormat/>
    <w:uiPriority w:val="99"/>
    <w:pPr>
      <w:tabs>
        <w:tab w:val="center" w:pos="4153"/>
        <w:tab w:val="right" w:pos="8306"/>
      </w:tabs>
      <w:snapToGrid w:val="0"/>
      <w:jc w:val="left"/>
    </w:pPr>
    <w:rPr>
      <w:sz w:val="18"/>
      <w:szCs w:val="18"/>
    </w:rPr>
  </w:style>
  <w:style w:type="paragraph" w:styleId="7">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paragraph" w:styleId="8">
    <w:name w:val="footnote text"/>
    <w:basedOn w:val="1"/>
    <w:link w:val="25"/>
    <w:qFormat/>
    <w:uiPriority w:val="99"/>
    <w:pPr>
      <w:snapToGrid w:val="0"/>
      <w:jc w:val="left"/>
    </w:pPr>
    <w:rPr>
      <w:sz w:val="18"/>
      <w:szCs w:val="18"/>
    </w:rPr>
  </w:style>
  <w:style w:type="paragraph" w:styleId="9">
    <w:name w:val="Normal (Web)"/>
    <w:basedOn w:val="1"/>
    <w:unhideWhenUsed/>
    <w:qFormat/>
    <w:uiPriority w:val="99"/>
    <w:pPr>
      <w:widowControl/>
      <w:jc w:val="left"/>
    </w:pPr>
    <w:rPr>
      <w:rFonts w:ascii="宋体" w:hAnsi="宋体" w:cs="宋体"/>
      <w:kern w:val="0"/>
      <w:sz w:val="18"/>
      <w:szCs w:val="18"/>
    </w:rPr>
  </w:style>
  <w:style w:type="character" w:styleId="12">
    <w:name w:val="page number"/>
    <w:qFormat/>
    <w:uiPriority w:val="99"/>
    <w:rPr>
      <w:rFonts w:cs="Times New Roman"/>
    </w:rPr>
  </w:style>
  <w:style w:type="character" w:styleId="13">
    <w:name w:val="Hyperlink"/>
    <w:basedOn w:val="11"/>
    <w:qFormat/>
    <w:uiPriority w:val="99"/>
    <w:rPr>
      <w:rFonts w:cs="Times New Roman"/>
      <w:color w:val="0000FF"/>
      <w:u w:val="single"/>
    </w:rPr>
  </w:style>
  <w:style w:type="character" w:styleId="14">
    <w:name w:val="footnote reference"/>
    <w:qFormat/>
    <w:uiPriority w:val="99"/>
    <w:rPr>
      <w:rFonts w:cs="Times New Roman"/>
      <w:vertAlign w:val="superscript"/>
    </w:rPr>
  </w:style>
  <w:style w:type="paragraph" w:customStyle="1" w:styleId="15">
    <w:name w:val="Default"/>
    <w:link w:val="20"/>
    <w:qFormat/>
    <w:uiPriority w:val="99"/>
    <w:pPr>
      <w:widowControl w:val="0"/>
      <w:autoSpaceDE w:val="0"/>
      <w:autoSpaceDN w:val="0"/>
      <w:adjustRightInd w:val="0"/>
    </w:pPr>
    <w:rPr>
      <w:rFonts w:ascii="宋体" w:hAnsi="Calibri" w:eastAsia="宋体" w:cs="Times New Roman"/>
      <w:color w:val="000000"/>
      <w:sz w:val="21"/>
      <w:lang w:val="en-US" w:eastAsia="zh-CN" w:bidi="ar-SA"/>
    </w:rPr>
  </w:style>
  <w:style w:type="paragraph" w:customStyle="1" w:styleId="16">
    <w:name w:val="text2"/>
    <w:basedOn w:val="1"/>
    <w:qFormat/>
    <w:uiPriority w:val="99"/>
    <w:pPr>
      <w:widowControl/>
      <w:spacing w:before="100" w:after="100"/>
      <w:jc w:val="left"/>
    </w:pPr>
    <w:rPr>
      <w:rFonts w:ascii="宋体" w:hAnsi="宋体"/>
      <w:color w:val="000000"/>
      <w:kern w:val="0"/>
      <w:sz w:val="24"/>
      <w:szCs w:val="20"/>
    </w:rPr>
  </w:style>
  <w:style w:type="paragraph" w:customStyle="1" w:styleId="17">
    <w:name w:val="样式"/>
    <w:basedOn w:val="1"/>
    <w:qFormat/>
    <w:uiPriority w:val="99"/>
    <w:pPr>
      <w:spacing w:line="360" w:lineRule="auto"/>
      <w:ind w:left="420"/>
    </w:pPr>
    <w:rPr>
      <w:rFonts w:cs="宋体"/>
      <w:sz w:val="24"/>
      <w:szCs w:val="20"/>
    </w:rPr>
  </w:style>
  <w:style w:type="character" w:customStyle="1" w:styleId="18">
    <w:name w:val="批注框文本 Char"/>
    <w:link w:val="5"/>
    <w:semiHidden/>
    <w:qFormat/>
    <w:locked/>
    <w:uiPriority w:val="99"/>
    <w:rPr>
      <w:rFonts w:cs="Times New Roman"/>
      <w:sz w:val="2"/>
    </w:rPr>
  </w:style>
  <w:style w:type="character" w:customStyle="1" w:styleId="19">
    <w:name w:val="页眉 Char"/>
    <w:link w:val="7"/>
    <w:qFormat/>
    <w:locked/>
    <w:uiPriority w:val="99"/>
    <w:rPr>
      <w:rFonts w:cs="Times New Roman"/>
      <w:kern w:val="2"/>
      <w:sz w:val="18"/>
      <w:szCs w:val="18"/>
    </w:rPr>
  </w:style>
  <w:style w:type="character" w:customStyle="1" w:styleId="20">
    <w:name w:val="Default Char"/>
    <w:link w:val="15"/>
    <w:qFormat/>
    <w:locked/>
    <w:uiPriority w:val="99"/>
    <w:rPr>
      <w:rFonts w:ascii="宋体"/>
      <w:color w:val="000000"/>
      <w:sz w:val="21"/>
      <w:lang w:val="en-US" w:eastAsia="zh-CN" w:bidi="ar-SA"/>
    </w:rPr>
  </w:style>
  <w:style w:type="character" w:customStyle="1" w:styleId="21">
    <w:name w:val="纯文本 Char"/>
    <w:link w:val="3"/>
    <w:qFormat/>
    <w:locked/>
    <w:uiPriority w:val="99"/>
    <w:rPr>
      <w:rFonts w:ascii="宋体" w:hAnsi="Courier New" w:cs="Times New Roman"/>
      <w:kern w:val="2"/>
      <w:sz w:val="21"/>
    </w:rPr>
  </w:style>
  <w:style w:type="character" w:customStyle="1" w:styleId="22">
    <w:name w:val="日期 Char"/>
    <w:link w:val="4"/>
    <w:semiHidden/>
    <w:qFormat/>
    <w:locked/>
    <w:uiPriority w:val="99"/>
    <w:rPr>
      <w:rFonts w:cs="Times New Roman"/>
      <w:sz w:val="24"/>
      <w:szCs w:val="24"/>
    </w:rPr>
  </w:style>
  <w:style w:type="character" w:customStyle="1" w:styleId="23">
    <w:name w:val="脚注文本 字符1"/>
    <w:semiHidden/>
    <w:qFormat/>
    <w:uiPriority w:val="99"/>
    <w:rPr>
      <w:kern w:val="2"/>
      <w:sz w:val="18"/>
      <w:szCs w:val="18"/>
    </w:rPr>
  </w:style>
  <w:style w:type="character" w:customStyle="1" w:styleId="24">
    <w:name w:val="！样式 小四号"/>
    <w:qFormat/>
    <w:uiPriority w:val="99"/>
    <w:rPr>
      <w:sz w:val="24"/>
    </w:rPr>
  </w:style>
  <w:style w:type="character" w:customStyle="1" w:styleId="25">
    <w:name w:val="脚注文本 Char"/>
    <w:link w:val="8"/>
    <w:qFormat/>
    <w:locked/>
    <w:uiPriority w:val="99"/>
    <w:rPr>
      <w:kern w:val="2"/>
      <w:sz w:val="18"/>
      <w:szCs w:val="18"/>
    </w:rPr>
  </w:style>
  <w:style w:type="character" w:customStyle="1" w:styleId="26">
    <w:name w:val="标题 2 Char"/>
    <w:link w:val="2"/>
    <w:qFormat/>
    <w:locked/>
    <w:uiPriority w:val="99"/>
    <w:rPr>
      <w:rFonts w:ascii="Arial" w:hAnsi="Arial" w:cs="Arial"/>
      <w:b/>
      <w:bCs/>
      <w:i/>
      <w:iCs/>
      <w:sz w:val="28"/>
      <w:szCs w:val="28"/>
      <w:lang w:eastAsia="en-US"/>
    </w:rPr>
  </w:style>
  <w:style w:type="character" w:customStyle="1" w:styleId="27">
    <w:name w:val="页脚 Char"/>
    <w:link w:val="6"/>
    <w:qFormat/>
    <w:locked/>
    <w:uiPriority w:val="99"/>
    <w:rPr>
      <w:rFonts w:cs="Times New Roman"/>
      <w:kern w:val="2"/>
      <w:sz w:val="18"/>
      <w:szCs w:val="18"/>
    </w:rPr>
  </w:style>
  <w:style w:type="paragraph" w:styleId="2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南京中医药大学附属医院</Company>
  <Pages>7</Pages>
  <Words>3632</Words>
  <Characters>3728</Characters>
  <Lines>39</Lines>
  <Paragraphs>10</Paragraphs>
  <TotalTime>42</TotalTime>
  <ScaleCrop>false</ScaleCrop>
  <LinksUpToDate>false</LinksUpToDate>
  <CharactersWithSpaces>3743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2023-05-18T19:32:00Z</dcterms:created>
  <dc:creator>刘芳</dc:creator>
  <cp:lastModifiedBy>舒俊</cp:lastModifiedBy>
  <cp:lastPrinted>2019-07-11T00:08:00Z</cp:lastPrinted>
  <dcterms:modified xsi:type="dcterms:W3CDTF">2026-07-12T14:17:19Z</dcterms:modified>
  <dc:title>新药研究批件：国家药品监督管理局2003L00222</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C5421739CF37AECFEC144669F3EDDDB9_43</vt:lpwstr>
  </property>
  <property fmtid="{D5CDD505-2E9C-101B-9397-08002B2CF9AE}" pid="4" name="KSOTemplateDocerSaveRecord">
    <vt:lpwstr>eyJoZGlkIjoiN2YzNjBkOTgyNWQ1YTMxYzM3MzMwNWFiODNmOWIzYWMiLCJ1c2VySWQiOiI5NzMyMzUwMzgifQ==</vt:lpwstr>
  </property>
</Properties>
</file>