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color w:val="000000"/>
        </w:rPr>
        <w:t>临床研究方案修正案申请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一、基本信息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36"/>
        <w:gridCol w:w="8904"/>
      </w:tblGrid>
      <w:tr>
        <w:trPr>
          <w:tblHeader w:val="true"/>
        </w:trPr>
        <w:tc>
          <w:tcPr>
            <w:tcW w:type="dxa" w:w="3336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904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333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原研究方案名称</w:t>
            </w:r>
          </w:p>
        </w:tc>
        <w:tc>
          <w:tcPr>
            <w:tcW w:type="dxa" w:w="89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儿童胃十二指肠穿孔的临床特征及手术疗效分析</w:t>
            </w:r>
          </w:p>
        </w:tc>
      </w:tr>
      <w:tr>
        <w:tc>
          <w:tcPr>
            <w:tcW w:type="dxa" w:w="333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修订后研究方案名称</w:t>
            </w:r>
          </w:p>
        </w:tc>
        <w:tc>
          <w:tcPr>
            <w:tcW w:type="dxa" w:w="89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儿童胃十二指肠穿孔病因谱的十年变迁及临床特征分析</w:t>
            </w:r>
          </w:p>
        </w:tc>
      </w:tr>
      <w:tr>
        <w:tc>
          <w:tcPr>
            <w:tcW w:type="dxa" w:w="333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研究单位</w:t>
            </w:r>
          </w:p>
        </w:tc>
        <w:tc>
          <w:tcPr>
            <w:tcW w:type="dxa" w:w="89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华中科技大学同济医学院附属武汉儿童医院 胃肠外科</w:t>
            </w:r>
          </w:p>
        </w:tc>
      </w:tr>
      <w:tr>
        <w:tc>
          <w:tcPr>
            <w:tcW w:type="dxa" w:w="333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主要研究者</w:t>
            </w:r>
          </w:p>
        </w:tc>
        <w:tc>
          <w:tcPr>
            <w:tcW w:type="dxa" w:w="89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舒俊、杨俊、卞红强</w:t>
            </w:r>
          </w:p>
        </w:tc>
      </w:tr>
      <w:tr>
        <w:tc>
          <w:tcPr>
            <w:tcW w:type="dxa" w:w="333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原方案版本</w:t>
            </w:r>
          </w:p>
        </w:tc>
        <w:tc>
          <w:tcPr>
            <w:tcW w:type="dxa" w:w="89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V1.1，2026年8月7日（已获伦理批准）</w:t>
            </w:r>
          </w:p>
        </w:tc>
      </w:tr>
      <w:tr>
        <w:tc>
          <w:tcPr>
            <w:tcW w:type="dxa" w:w="333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本次修订版本</w:t>
            </w:r>
          </w:p>
        </w:tc>
        <w:tc>
          <w:tcPr>
            <w:tcW w:type="dxa" w:w="89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V2.0</w:t>
            </w:r>
          </w:p>
        </w:tc>
      </w:tr>
      <w:tr>
        <w:tc>
          <w:tcPr>
            <w:tcW w:type="dxa" w:w="3336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修订日期</w:t>
            </w:r>
          </w:p>
        </w:tc>
        <w:tc>
          <w:tcPr>
            <w:tcW w:type="dxa" w:w="89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2026年8月19日</w:t>
            </w:r>
          </w:p>
        </w:tc>
      </w:tr>
      <w:tr>
        <w:tc>
          <w:tcPr>
            <w:tcW w:type="dxa" w:w="3336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伦理批件号</w:t>
            </w:r>
          </w:p>
        </w:tc>
        <w:tc>
          <w:tcPr>
            <w:tcW w:type="dxa" w:w="8904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2026R090-E01</w:t>
            </w:r>
          </w:p>
        </w:tc>
      </w:tr>
    </w:tbl>
    <w:p/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二、修订缘由概述</w:t>
      </w:r>
    </w:p>
    <w:p>
      <w:r>
        <w:t>初始审查获批后，研究团队完成了病例检索与数据整理，从本院病案系统提取到 2016 年 6 月至 2026 年 5 月期间胃十二指肠穿孔相关住院 107 次（患儿 104 例）。在核查原始资料的过程中发现两类问题，需通过本修正案予以纠正：</w:t>
      </w:r>
    </w:p>
    <w:p>
      <w:r>
        <w:t xml:space="preserve">其一，原方案的主要终点「术后 30 天内并发症发生率」在现有数据源下不可测量。本研究数据全部来自住院病案系统，不含门诊随访记录；经核查该批病例的全部检查记录（影像学 766 条：超声 284、X 线 407、CT 68、MRI 7；内镜 6 条，合计 772 条），出院 1 天以后完成的检查为 </w:t>
      </w:r>
      <w:r>
        <w:rPr>
          <w:b/>
        </w:rPr>
        <w:t>0 条</w:t>
      </w:r>
      <w:r>
        <w:t>，患儿住院天数中位数为 12 天，30 天随访窗口无任何数据支持。</w:t>
      </w:r>
    </w:p>
    <w:p>
      <w:r>
        <w:t>其二，原方案的纳入与排除标准与实际资料所反映的疾病谱不相适应。数据整理显示，该病在儿童中的病因构成呈现明显的年龄分层特征，新生儿、幼儿及学龄期患儿的主导病因各不相同；同时异物（尤以磁性异物）相关穿孔在近年病例中占比上升。以病因谱及其时间变迁作为研究主线，比原定的「手术疗效」更契合数据实际，亦更具临床与公共卫生意义；而原方案「在本院接受手术治疗」的纳入限定与「因严重创伤等特殊原因导致者排除」的排除条款，会系统性地遗漏非手术病例与创伤病因，与病因谱研究的目标直接冲突。</w:t>
      </w:r>
    </w:p>
    <w:p>
      <w:r>
        <w:t>本次修订不改变研究的回顾性、观察性性质，不涉及任何针对受试者的干预、检查或随访。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三、修订对照表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73"/>
        <w:gridCol w:w="2644"/>
        <w:gridCol w:w="4804"/>
        <w:gridCol w:w="3919"/>
      </w:tblGrid>
      <w:tr>
        <w:trPr>
          <w:tblHeader w:val="true"/>
        </w:trPr>
        <w:tc>
          <w:tcPr>
            <w:tcW w:type="dxa" w:w="873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修订条目</w:t>
            </w:r>
          </w:p>
        </w:tc>
        <w:tc>
          <w:tcPr>
            <w:tcW w:type="dxa" w:w="2644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原方案 V1.1</w:t>
            </w:r>
          </w:p>
        </w:tc>
        <w:tc>
          <w:tcPr>
            <w:tcW w:type="dxa" w:w="4804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修订后 V2.0</w:t>
            </w:r>
          </w:p>
        </w:tc>
        <w:tc>
          <w:tcPr>
            <w:tcW w:type="dxa" w:w="3919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修订理由</w:t>
            </w:r>
          </w:p>
        </w:tc>
      </w:tr>
      <w:tr>
        <w:tc>
          <w:tcPr>
            <w:tcW w:type="dxa" w:w="87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 研究题目</w:t>
            </w:r>
          </w:p>
        </w:tc>
        <w:tc>
          <w:tcPr>
            <w:tcW w:type="dxa" w:w="264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儿童胃十二指肠穿孔的临床特征及手术疗效分析</w:t>
            </w:r>
          </w:p>
        </w:tc>
        <w:tc>
          <w:tcPr>
            <w:tcW w:type="dxa" w:w="48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儿童胃十二指肠穿孔病因谱的十年变迁及临床特征分析</w:t>
            </w:r>
          </w:p>
        </w:tc>
        <w:tc>
          <w:tcPr>
            <w:tcW w:type="dxa" w:w="391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以病因谱为主线更贴合数据实际；原题目中「手术疗效」部分因无对照组、无随访数据而不具可行性</w:t>
            </w:r>
          </w:p>
        </w:tc>
      </w:tr>
      <w:tr>
        <w:tc>
          <w:tcPr>
            <w:tcW w:type="dxa" w:w="87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 主要目的</w:t>
            </w:r>
          </w:p>
        </w:tc>
        <w:tc>
          <w:tcPr>
            <w:tcW w:type="dxa" w:w="264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总结临床特征、辅助检查、穿孔部位、手术方式及围手术期处理特点，描述手术治疗后的近期结局</w:t>
            </w:r>
          </w:p>
        </w:tc>
        <w:tc>
          <w:tcPr>
            <w:tcW w:type="dxa" w:w="48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描述儿童胃十二指肠穿孔的病因构成、其在十年研究期内的时间趋势，以及病因的年龄分层特征；并总结各病因类别的临床特征与住院期间转归</w:t>
            </w:r>
          </w:p>
        </w:tc>
        <w:tc>
          <w:tcPr>
            <w:tcW w:type="dxa" w:w="391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与修订后的题目及可测量的终点保持一致</w:t>
            </w:r>
          </w:p>
        </w:tc>
      </w:tr>
      <w:tr>
        <w:tc>
          <w:tcPr>
            <w:tcW w:type="dxa" w:w="87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 主要终点</w:t>
            </w:r>
          </w:p>
        </w:tc>
        <w:tc>
          <w:tcPr>
            <w:tcW w:type="dxa" w:w="264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术后 30 天内并发症发生率</w:t>
            </w:r>
          </w:p>
        </w:tc>
        <w:tc>
          <w:tcPr>
            <w:tcW w:type="dxa" w:w="48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各病因类别的构成比，及其随时间的变化趋势</w:t>
            </w:r>
          </w:p>
        </w:tc>
        <w:tc>
          <w:tcPr>
            <w:tcW w:type="dxa" w:w="391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原终点不可测量：数据源为纯住院病案，无门诊随访；全部 772 条检查记录中出院 1 天后完成者为 0 条</w:t>
            </w:r>
          </w:p>
        </w:tc>
      </w:tr>
      <w:tr>
        <w:tc>
          <w:tcPr>
            <w:tcW w:type="dxa" w:w="87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 次要终点</w:t>
            </w:r>
          </w:p>
        </w:tc>
        <w:tc>
          <w:tcPr>
            <w:tcW w:type="dxa" w:w="264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术后恢复肠内进食时间、术后住院时间、非计划再次手术或再次介入干预率、出院及随访转归（含再入院、死亡）</w:t>
            </w:r>
          </w:p>
        </w:tc>
        <w:tc>
          <w:tcPr>
            <w:tcW w:type="dxa" w:w="48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穿孔部位与数目；治疗方式（开腹、腹腔镜、内镜、非手术）；住院期间并发症；住院天数；院内不良结局（院内死亡与家属放弃治疗合并为复合结局）</w:t>
            </w:r>
          </w:p>
        </w:tc>
        <w:tc>
          <w:tcPr>
            <w:tcW w:type="dxa" w:w="391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删除「随访转归」（无数据源）；「再入院」限定为本院内、同一次穿孔相关的再次住院，仅作描述性呈现</w:t>
            </w:r>
          </w:p>
        </w:tc>
      </w:tr>
      <w:tr>
        <w:tc>
          <w:tcPr>
            <w:tcW w:type="dxa" w:w="87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 纳入标准</w:t>
            </w:r>
          </w:p>
        </w:tc>
        <w:tc>
          <w:tcPr>
            <w:tcW w:type="dxa" w:w="264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年龄 18 岁以内；明确诊断为胃、十二指肠或胃十二指肠穿孔；</w:t>
            </w:r>
            <w:r>
              <w:rPr>
                <w:b/>
                <w:sz w:val="18"/>
              </w:rPr>
              <w:t>在本院接受手术治疗</w:t>
            </w:r>
            <w:r>
              <w:rPr>
                <w:sz w:val="18"/>
              </w:rPr>
              <w:t>；病历资料完整</w:t>
            </w:r>
          </w:p>
        </w:tc>
        <w:tc>
          <w:tcPr>
            <w:tcW w:type="dxa" w:w="48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年龄 18 岁以内；经手术探查、内镜检查或影像学结合临床明确诊断为胃穿孔、十二指肠穿孔或胃十二指肠穿孔；</w:t>
            </w:r>
            <w:r>
              <w:rPr>
                <w:b/>
                <w:sz w:val="18"/>
              </w:rPr>
              <w:t>不论是否接受手术治疗</w:t>
            </w:r>
            <w:r>
              <w:rPr>
                <w:sz w:val="18"/>
              </w:rPr>
              <w:t>（含保守治疗成功者及因家属拒绝手术而未行手术者）；住院病案资料可满足病因判定</w:t>
            </w:r>
          </w:p>
        </w:tc>
        <w:tc>
          <w:tcPr>
            <w:tcW w:type="dxa" w:w="391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病因谱研究须覆盖该病的全部病因与全部处理方式。初步检索显示该期间存在保守治疗成功者与家属拒绝手术者（具体例数待双人裁定确认），若限定「接受手术治疗」将系统性遗漏非手术病例，使病因构成与结局估计产生选择偏倚</w:t>
            </w:r>
          </w:p>
        </w:tc>
      </w:tr>
      <w:tr>
        <w:tc>
          <w:tcPr>
            <w:tcW w:type="dxa" w:w="87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 排除标准</w:t>
            </w:r>
          </w:p>
        </w:tc>
        <w:tc>
          <w:tcPr>
            <w:tcW w:type="dxa" w:w="264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外院已完成主要手术、仅在本院后续治疗且关键资料缺失者；非胃十二指肠来源的消化道穿孔；</w:t>
            </w:r>
            <w:r>
              <w:rPr>
                <w:b/>
                <w:sz w:val="18"/>
              </w:rPr>
              <w:t>因严重创伤、肿瘤或腐蚀性损伤等特殊原因导致者</w:t>
            </w:r>
            <w:r>
              <w:rPr>
                <w:sz w:val="18"/>
              </w:rPr>
              <w:t>；病历资料严重缺失者；合并严重基础疾病且主要结局难以归因者</w:t>
            </w:r>
          </w:p>
        </w:tc>
        <w:tc>
          <w:tcPr>
            <w:tcW w:type="dxa" w:w="48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E1 穿孔部位不在胃或十二指肠；E2 本次住院无活动性穿孔（如仅为溃疡、术后复查或随访）；E3 穿孔已在外院手术处理后转入本院，本次住院处理的是并发症；E4 同一患儿因同一次穿孔的再次住院（保留首次收治）；E5 病案资料严重缺失、无法完成病因判定</w:t>
            </w:r>
          </w:p>
        </w:tc>
        <w:tc>
          <w:tcPr>
            <w:tcW w:type="dxa" w:w="391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删除「严重创伤」排除条</w:t>
            </w:r>
            <w:r>
              <w:rPr>
                <w:sz w:val="18"/>
              </w:rPr>
              <w:t>：创伤是胃十二指肠穿孔的固有病因之一，排除后病因谱不完整，直接损害本研究的核心效度。腐蚀性损伤与肿瘤相关病例经检索为 0 例，保留该条无实际意义且易致误解，一并删除。「合并严重基础疾病且难以归因」一条主观性强，且本研究不作疗效归因，予以删除。新标准 E1–E5 已写为可操作定义，纳入《病例裁定表》分类标准</w:t>
            </w:r>
          </w:p>
        </w:tc>
      </w:tr>
      <w:tr>
        <w:tc>
          <w:tcPr>
            <w:tcW w:type="dxa" w:w="87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7 研究期间</w:t>
            </w:r>
          </w:p>
        </w:tc>
        <w:tc>
          <w:tcPr>
            <w:tcW w:type="dxa" w:w="264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2026 年 6 月之前（未设起始时间）</w:t>
            </w:r>
          </w:p>
        </w:tc>
        <w:tc>
          <w:tcPr>
            <w:tcW w:type="dxa" w:w="48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2016 年 6 月至 2026 年 5 月，约十年</w:t>
            </w:r>
          </w:p>
        </w:tc>
        <w:tc>
          <w:tcPr>
            <w:tcW w:type="dxa" w:w="391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明确研究窗口以支持时间趋势分析；起点由本院电子病案系统可稳定检索的最早时点决定</w:t>
            </w:r>
          </w:p>
        </w:tc>
      </w:tr>
      <w:tr>
        <w:tc>
          <w:tcPr>
            <w:tcW w:type="dxa" w:w="87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 样本量</w:t>
            </w:r>
          </w:p>
        </w:tc>
        <w:tc>
          <w:tcPr>
            <w:tcW w:type="dxa" w:w="264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预计 30 例</w:t>
            </w:r>
          </w:p>
        </w:tc>
        <w:tc>
          <w:tcPr>
            <w:tcW w:type="dxa" w:w="48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连续纳入，检索得住院 107 次（患儿 104 例），经纳排与去重后预计纳入约 95 至 100 例</w:t>
            </w:r>
          </w:p>
        </w:tc>
        <w:tc>
          <w:tcPr>
            <w:tcW w:type="dxa" w:w="391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实际检索结果远高于初始估计。本研究为全样本连续纳入，不作统计学功效估算</w:t>
            </w:r>
          </w:p>
        </w:tc>
      </w:tr>
      <w:tr>
        <w:tc>
          <w:tcPr>
            <w:tcW w:type="dxa" w:w="87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 统计学处理</w:t>
            </w:r>
          </w:p>
        </w:tc>
        <w:tc>
          <w:tcPr>
            <w:tcW w:type="dxa" w:w="264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描述性统计为主；必要时采用 t 检验、Mann-Whitney U 检验、卡方检验或 Fisher 精确检验作探索性比较</w:t>
            </w:r>
          </w:p>
        </w:tc>
        <w:tc>
          <w:tcPr>
            <w:tcW w:type="dxa" w:w="48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保留原有描述性统计与组间比较方法，并增加：病因构成的时间趋势采用 Cochran-Armitage 趋势检验及以入院时间为连续变量的多分类 logistic 回归；如获得同期本院儿外科住院量作分母，采用 Poisson 或负二项回归估计年度发病率趋势；年龄组与病因的关联采用 Fisher 精确检验并报告 Cramér's V；病因判定由 2 名研究者独立完成，以 Cohen κ 评价一致性，分歧由第三方仲裁；院内不良结局因事件数少，仅作描述性呈现，不作组间推断</w:t>
            </w:r>
          </w:p>
        </w:tc>
        <w:tc>
          <w:tcPr>
            <w:tcW w:type="dxa" w:w="391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原统计方法不含时间趋势分析，无法支持修订后的主要终点；补充双人裁定与一致性评价以控制信息偏倚</w:t>
            </w:r>
          </w:p>
        </w:tc>
      </w:tr>
      <w:tr>
        <w:tc>
          <w:tcPr>
            <w:tcW w:type="dxa" w:w="87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 知情同意</w:t>
            </w:r>
          </w:p>
        </w:tc>
        <w:tc>
          <w:tcPr>
            <w:tcW w:type="dxa" w:w="264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研究者将通过电话等方式尽量联系患儿监护人，取得监护人签署《知情同意书》后使用其病历资料</w:t>
            </w:r>
          </w:p>
        </w:tc>
        <w:tc>
          <w:tcPr>
            <w:tcW w:type="dxa" w:w="480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本研究已获批免除全部受试者的知情同意（《免除知情同意申请表》，2026 年 7 月 12 日）。删除原方案中关于电话联系并取得签署知情同意的表述，并撤回随初始审查提交的《非干预研究版知情同意书（法定监护人版）》</w:t>
            </w:r>
          </w:p>
        </w:tc>
        <w:tc>
          <w:tcPr>
            <w:tcW w:type="dxa" w:w="391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原方案正文与已获批的免除申请（勾选「全部受试者均免除签署」）相互矛盾；且「全部免除」与同时提交知情同意书不符（该表说明：选择部分免除时才需提交知情同意书）。本次修订消除矛盾，与已获批的免除范围保持一致</w:t>
            </w:r>
          </w:p>
        </w:tc>
      </w:tr>
      <w:tr>
        <w:tc>
          <w:tcPr>
            <w:tcW w:type="dxa" w:w="873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11 参考文献</w:t>
            </w:r>
          </w:p>
        </w:tc>
        <w:tc>
          <w:tcPr>
            <w:tcW w:type="dxa" w:w="2644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 篇，均为成人穿孔性溃疡相关文献</w:t>
            </w:r>
          </w:p>
        </w:tc>
        <w:tc>
          <w:tcPr>
            <w:tcW w:type="dxa" w:w="4804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替换为儿童胃十二指肠穿孔、新生儿胃穿孔、儿童消化道磁性异物损伤相关文献</w:t>
            </w:r>
          </w:p>
        </w:tc>
        <w:tc>
          <w:tcPr>
            <w:tcW w:type="dxa" w:w="3919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原文献与修订后的研究主题不匹配</w:t>
            </w:r>
          </w:p>
        </w:tc>
      </w:tr>
    </w:tbl>
    <w:p/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黑体"/>
          <w:color w:val="000000"/>
        </w:rPr>
        <w:t>四、对受试者风险与权益的影响</w:t>
      </w:r>
    </w:p>
    <w:p>
      <w:r>
        <w:t>本次修订不改变研究的回顾性、观察性设计，不增加任何针对受试者的干预、检查、随访或生物样本采集，研究风险仍不大于最小风险。</w:t>
      </w:r>
    </w:p>
    <w:p>
      <w:r>
        <w:t>纳入标准的放宽仅涉及既往住院病案资料的调阅范围（由「接受手术治疗者」扩大至「明确诊断为胃十二指肠穿孔者」，含少数非手术病例），排除标准的调整亦仅涉及病例筛选逻辑，均不改变受试者的既往诊疗过程。数据的去标识化处理、存储与保密措施与原方案一致，研究数据仍由胃肠外科研究团队专人管理，仅授权成员可在授权范围内访问。</w:t>
      </w:r>
    </w:p>
    <w:p>
      <w:r>
        <w:t>删除原方案中关于电话联系监护人取得知情同意的表述，是为与已获批的免除知情同意范围保持一致，并非降低对受试者权益的保护标准：本研究全部数据经去标识化后分析，研究结果公开发表时不披露任何可识别受试者身份的信息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五、拟同时提交的附件</w:t>
      </w:r>
    </w:p>
    <w:p>
      <w:r>
        <w:t>1. 修订后研究方案 V2.0 全文（清稿版）</w:t>
      </w:r>
    </w:p>
    <w:p>
      <w:r>
        <w:t>2. 本修订对照表</w:t>
      </w:r>
    </w:p>
    <w:p>
      <w:r>
        <w:t>3. 《病例裁定表》分类标准（含 E1–E5 排除条目的可操作定义）</w:t>
      </w:r>
    </w:p>
    <w:p>
      <w:r>
        <w:t>4. 撤回《非干预研究版知情同意书（法定监护人版）》的说明</w:t>
      </w:r>
    </w:p>
    <w:p>
      <w:r>
        <w:t>主要研究者签字：＿＿＿＿＿＿＿＿　　日期：＿＿＿＿年＿＿月＿＿日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