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黑体"/>
          <w:color w:val="000000"/>
        </w:rPr>
        <w:t>临床研究数据调取申请（汇总统计数据）</w:t>
      </w:r>
    </w:p>
    <w:p>
      <w:pPr>
        <w:pStyle w:val="Heading1"/>
      </w:pPr>
      <w:r>
        <w:rPr>
          <w:rFonts w:ascii="Times New Roman" w:hAnsi="Times New Roman" w:eastAsia="黑体"/>
          <w:color w:val="000000"/>
        </w:rPr>
        <w:t>一、申请信息</w:t>
      </w:r>
    </w:p>
    <w:p>
      <w:pPr>
        <w:sectPr>
          <w:pgSz w:w="12240" w:h="15840"/>
          <w:pgMar w:top="1440" w:right="1800" w:bottom="1440" w:left="1800" w:header="720" w:footer="720" w:gutter="0"/>
          <w:cols w:space="720"/>
          <w:docGrid w:linePitch="360"/>
        </w:sectP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245"/>
        <w:gridCol w:w="10995"/>
      </w:tblGrid>
      <w:tr>
        <w:trPr>
          <w:tblHeader w:val="true"/>
        </w:trPr>
        <w:tc>
          <w:tcPr>
            <w:tcW w:type="dxa" w:w="1245"/>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项目</w:t>
            </w:r>
          </w:p>
        </w:tc>
        <w:tc>
          <w:tcPr>
            <w:tcW w:type="dxa" w:w="10995"/>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内容</w:t>
            </w:r>
          </w:p>
        </w:tc>
      </w:tr>
      <w:tr>
        <w:tc>
          <w:tcPr>
            <w:tcW w:type="dxa" w:w="124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申请人</w:t>
            </w:r>
          </w:p>
        </w:tc>
        <w:tc>
          <w:tcPr>
            <w:tcW w:type="dxa" w:w="1099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舒俊</w:t>
            </w:r>
          </w:p>
        </w:tc>
      </w:tr>
      <w:tr>
        <w:tc>
          <w:tcPr>
            <w:tcW w:type="dxa" w:w="124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科室</w:t>
            </w:r>
          </w:p>
        </w:tc>
        <w:tc>
          <w:tcPr>
            <w:tcW w:type="dxa" w:w="1099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胃肠外科</w:t>
            </w:r>
          </w:p>
        </w:tc>
      </w:tr>
      <w:tr>
        <w:tc>
          <w:tcPr>
            <w:tcW w:type="dxa" w:w="124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联系电话</w:t>
            </w:r>
          </w:p>
        </w:tc>
        <w:tc>
          <w:tcPr>
            <w:tcW w:type="dxa" w:w="1099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13545265102</w:t>
            </w:r>
          </w:p>
        </w:tc>
      </w:tr>
      <w:tr>
        <w:tc>
          <w:tcPr>
            <w:tcW w:type="dxa" w:w="124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课题名称</w:t>
            </w:r>
          </w:p>
        </w:tc>
        <w:tc>
          <w:tcPr>
            <w:tcW w:type="dxa" w:w="1099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儿童胃十二指肠穿孔病因谱的十年变迁及临床特征分析</w:t>
            </w:r>
          </w:p>
        </w:tc>
      </w:tr>
      <w:tr>
        <w:tc>
          <w:tcPr>
            <w:tcW w:type="dxa" w:w="124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题目变更说明</w:t>
            </w:r>
          </w:p>
        </w:tc>
        <w:tc>
          <w:tcPr>
            <w:tcW w:type="dxa" w:w="1099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本课题原方案名称为《儿童胃十二指肠穿孔的临床特征及手术疗效分析》（V1.1，已获伦理批准）；题目变更为现名称的方案修正案（V2.0）已随本申请同步提交院医学伦理委员会审查，伦理批件号不变，尚待批复</w:t>
            </w:r>
          </w:p>
        </w:tc>
      </w:tr>
      <w:tr>
        <w:tc>
          <w:tcPr>
            <w:tcW w:type="dxa" w:w="124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伦理批件号</w:t>
            </w:r>
          </w:p>
        </w:tc>
        <w:tc>
          <w:tcPr>
            <w:tcW w:type="dxa" w:w="1099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2026R090-E01</w:t>
            </w:r>
          </w:p>
        </w:tc>
      </w:tr>
      <w:tr>
        <w:tc>
          <w:tcPr>
            <w:tcW w:type="dxa" w:w="124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申请日期</w:t>
            </w:r>
          </w:p>
        </w:tc>
        <w:tc>
          <w:tcPr>
            <w:tcW w:type="dxa" w:w="1099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2026年8月19日</w:t>
            </w:r>
          </w:p>
        </w:tc>
      </w:tr>
      <w:tr>
        <w:tc>
          <w:tcPr>
            <w:tcW w:type="dxa" w:w="1245"/>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数据性质</w:t>
            </w:r>
          </w:p>
        </w:tc>
        <w:tc>
          <w:tcPr>
            <w:tcW w:type="dxa" w:w="10995"/>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汇总统计数据，不含任何患者个体信息</w:t>
            </w:r>
          </w:p>
        </w:tc>
      </w:tr>
    </w:tbl>
    <w:p/>
    <w:p>
      <w:pPr>
        <w:sectPr>
          <w:pgSz w:w="15840" w:h="12240" w:orient="landscape"/>
          <w:pgMar w:top="1440" w:right="1800" w:bottom="1440" w:left="1800" w:header="720" w:footer="720" w:gutter="0"/>
          <w:cols w:space="720"/>
          <w:docGrid w:linePitch="360"/>
        </w:sectPr>
      </w:pPr>
    </w:p>
    <w:p>
      <w:pPr>
        <w:pStyle w:val="Heading1"/>
      </w:pPr>
      <w:r>
        <w:rPr>
          <w:rFonts w:ascii="Times New Roman" w:hAnsi="Times New Roman" w:eastAsia="黑体"/>
          <w:color w:val="000000"/>
        </w:rPr>
        <w:t>二、申请事由</w:t>
      </w:r>
    </w:p>
    <w:p>
      <w:r>
        <w:t>本课题已通过院医学伦理委员会审查（原方案名称见上表「题目变更说明」），拟分析 2016 年 6 月至 2026 年 5 月本院收治的儿童胃十二指肠穿孔病例的病因构成及其时间变化趋势。本次数据调取范围与统计口径均按现题目对应的修订后方案（V2.0）拟定；若修正案审查中方案有实质性调整，本申请将随之更新。</w:t>
      </w:r>
    </w:p>
    <w:p>
      <w:r>
        <w:t>分析中需要估计各年度的发生率，以判断病例数的变化是反映疾病本身的变化，还是本院同期业务量增长所致。为此需要调取同期的住院量作为分母。</w:t>
      </w:r>
    </w:p>
    <w:p>
      <w:r>
        <w:t>此外，本课题病例由院内科研数据平台检索获得。病例数的年度变化能否解释为疾病趋势，前提是各年份的检索同样完整，因此另需按诊断编码调取同期胃十二指肠穿孔相关住院的逐月人次（第 6 项），与本课题已检索到的病例逐月核对。</w:t>
      </w:r>
    </w:p>
    <w:p>
      <w:r>
        <w:t>所申请数据均为按年月与病区（或编码组）汇总的计数，不涉及任何患者姓名、住院号或其他可识别信息。</w:t>
      </w:r>
    </w:p>
    <w:p>
      <w:pPr>
        <w:pStyle w:val="Heading1"/>
      </w:pPr>
      <w:r>
        <w:rPr>
          <w:rFonts w:ascii="Times New Roman" w:hAnsi="Times New Roman" w:eastAsia="黑体"/>
          <w:color w:val="000000"/>
        </w:rPr>
        <w:t>三、统一口径说明（以下各项数据共用）</w:t>
      </w:r>
    </w:p>
    <w:p>
      <w:pPr>
        <w:sectPr>
          <w:pgSz w:w="12240" w:h="15840"/>
          <w:pgMar w:top="1440" w:right="1800" w:bottom="1440" w:left="1800" w:header="720" w:footer="720" w:gutter="0"/>
          <w:cols w:space="720"/>
          <w:docGrid w:linePitch="360"/>
        </w:sectP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425"/>
        <w:gridCol w:w="10815"/>
      </w:tblGrid>
      <w:tr>
        <w:trPr>
          <w:tblHeader w:val="true"/>
        </w:trPr>
        <w:tc>
          <w:tcPr>
            <w:tcW w:type="dxa" w:w="1425"/>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口径项</w:t>
            </w:r>
          </w:p>
        </w:tc>
        <w:tc>
          <w:tcPr>
            <w:tcW w:type="dxa" w:w="10815"/>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要求</w:t>
            </w:r>
          </w:p>
        </w:tc>
      </w:tr>
      <w:tr>
        <w:tc>
          <w:tcPr>
            <w:tcW w:type="dxa" w:w="142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时间范围</w:t>
            </w:r>
          </w:p>
        </w:tc>
        <w:tc>
          <w:tcPr>
            <w:tcW w:type="dxa" w:w="1081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2016年1月1日 至 2026年5月31日</w:t>
            </w:r>
          </w:p>
        </w:tc>
      </w:tr>
      <w:tr>
        <w:tc>
          <w:tcPr>
            <w:tcW w:type="dxa" w:w="142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统计粒度</w:t>
            </w:r>
          </w:p>
        </w:tc>
        <w:tc>
          <w:tcPr>
            <w:tcW w:type="dxa" w:w="1081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按月（输出「年、月」两列），不要仅给年度汇总</w:t>
            </w:r>
          </w:p>
        </w:tc>
      </w:tr>
      <w:tr>
        <w:tc>
          <w:tcPr>
            <w:tcW w:type="dxa" w:w="142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归属月份</w:t>
            </w:r>
          </w:p>
        </w:tc>
        <w:tc>
          <w:tcPr>
            <w:tcW w:type="dxa" w:w="1081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按</w:t>
            </w:r>
            <w:r>
              <w:rPr>
                <w:b/>
                <w:sz w:val="18"/>
              </w:rPr>
              <w:t>入院日期</w:t>
            </w:r>
            <w:r>
              <w:rPr>
                <w:sz w:val="18"/>
              </w:rPr>
              <w:t>归属，不按出院日期</w:t>
            </w:r>
          </w:p>
        </w:tc>
      </w:tr>
      <w:tr>
        <w:tc>
          <w:tcPr>
            <w:tcW w:type="dxa" w:w="142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计数单位</w:t>
            </w:r>
          </w:p>
        </w:tc>
        <w:tc>
          <w:tcPr>
            <w:tcW w:type="dxa" w:w="1081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住院人次</w:t>
            </w:r>
            <w:r>
              <w:rPr>
                <w:sz w:val="18"/>
              </w:rPr>
              <w:t>（每次住院计 1 次，同一患儿多次住院分别计入，不按患者去重）</w:t>
            </w:r>
          </w:p>
        </w:tc>
      </w:tr>
      <w:tr>
        <w:tc>
          <w:tcPr>
            <w:tcW w:type="dxa" w:w="142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科别口径</w:t>
            </w:r>
          </w:p>
        </w:tc>
        <w:tc>
          <w:tcPr>
            <w:tcW w:type="dxa" w:w="1081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按</w:t>
            </w:r>
            <w:r>
              <w:rPr>
                <w:b/>
                <w:sz w:val="18"/>
              </w:rPr>
              <w:t>出院科别</w:t>
            </w:r>
            <w:r>
              <w:rPr>
                <w:sz w:val="18"/>
              </w:rPr>
              <w:t>统计，病区名称请用当年实际使用的全称</w:t>
            </w:r>
          </w:p>
        </w:tc>
      </w:tr>
      <w:tr>
        <w:tc>
          <w:tcPr>
            <w:tcW w:type="dxa" w:w="1425"/>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其他</w:t>
            </w:r>
          </w:p>
        </w:tc>
        <w:tc>
          <w:tcPr>
            <w:tcW w:type="dxa" w:w="10815"/>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若日间手术、门诊留观等单独统计，请注明是否已排除</w:t>
            </w:r>
          </w:p>
        </w:tc>
      </w:tr>
    </w:tbl>
    <w:p/>
    <w:p>
      <w:pPr>
        <w:sectPr>
          <w:pgSz w:w="15840" w:h="12240" w:orient="landscape"/>
          <w:pgMar w:top="1440" w:right="1800" w:bottom="1440" w:left="1800" w:header="720" w:footer="720" w:gutter="0"/>
          <w:cols w:space="720"/>
          <w:docGrid w:linePitch="360"/>
        </w:sectPr>
      </w:pPr>
    </w:p>
    <w:p>
      <w:r>
        <w:t>说明：需要按月而非按年，是因为本研究的观察窗为 2016 年 6 月 28 日至 2026 年 5 月 12 日，首尾均为不完整年度；有了月度数据才能使分母与分子的观察时长精确对齐。</w:t>
      </w:r>
    </w:p>
    <w:p>
      <w:pPr>
        <w:pStyle w:val="Heading1"/>
      </w:pPr>
      <w:r>
        <w:rPr>
          <w:rFonts w:ascii="Times New Roman" w:hAnsi="Times New Roman" w:eastAsia="黑体"/>
          <w:color w:val="000000"/>
        </w:rPr>
        <w:t>四、数据需求明细</w:t>
      </w:r>
    </w:p>
    <w:p>
      <w:pPr>
        <w:pStyle w:val="Heading2"/>
      </w:pPr>
      <w:r>
        <w:rPr>
          <w:rFonts w:ascii="Times New Roman" w:hAnsi="Times New Roman" w:eastAsia="黑体"/>
          <w:color w:val="000000"/>
        </w:rPr>
        <w:t>第 1 项（核心）逐月 × 逐病区 住院人次</w:t>
      </w:r>
    </w:p>
    <w:p>
      <w:r>
        <w:t>范围：</w:t>
      </w:r>
      <w:r>
        <w:rPr>
          <w:b/>
        </w:rPr>
        <w:t>下列病区</w:t>
      </w:r>
      <w:r>
        <w:t>。请勿预先合并，按病区逐一列出。</w:t>
      </w:r>
    </w:p>
    <w:p>
      <w:r>
        <w:rPr>
          <w:b/>
        </w:rPr>
        <w:t>必需</w:t>
      </w:r>
      <w:r>
        <w:t>（本课题病例的主要来源科室，覆盖 95/107 例）：新生儿外科病区；普外一病区；普外二病区；胃肠外科（含胃肠外科病区）；肝胆外科/肿瘤外科（含肝胆外科/肿瘤外科病区）；以及上述科室在 2016 至 2026 年间因拆分、合并或更名而产生的任何前身或后继病区。</w:t>
      </w:r>
    </w:p>
    <w:p>
      <w:r>
        <w:rPr>
          <w:b/>
        </w:rPr>
        <w:t>一并提供</w:t>
      </w:r>
      <w:r>
        <w:t>（用于敏感性分析，另覆盖 10 例）：新生儿内科各病区（含西院）；重症医学科病区。</w:t>
      </w:r>
    </w:p>
    <w:p>
      <w:r>
        <w:t>已知沿革：</w:t>
      </w:r>
      <w:r>
        <w:rPr>
          <w:b/>
        </w:rPr>
        <w:t>2024 年 8 月前后，普外一病区更名为胃肠外科病区，普外二病区更名为肝胆外科/肿瘤外科病区</w:t>
      </w:r>
      <w:r>
        <w:t>；该两病区在此之前并未设立（详见第 4 项）。因此上述四个名称须全部提供，本课题在分析时将其合并为同一口径处理。</w:t>
      </w:r>
    </w:p>
    <w:p>
      <w:r>
        <w:t>说明：胃十二指肠穿孔患儿仅收治于上述腹部外科与新生儿相关病区。骨科、泌尿外科、神经外科、心胸外科等病区不收治此类患儿，其住院量与本病无关，</w:t>
      </w:r>
      <w:r>
        <w:rPr>
          <w:b/>
        </w:rPr>
        <w:t>无需提供</w:t>
      </w:r>
      <w:r>
        <w:t>——若计入分母，这些科室自身的业务量波动会稀释分母、使发生率失真。</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140"/>
        <w:gridCol w:w="6500"/>
      </w:tblGrid>
      <w:tr>
        <w:trPr>
          <w:tblHeader w:val="true"/>
        </w:trPr>
        <w:tc>
          <w:tcPr>
            <w:tcW w:type="dxa" w:w="2140"/>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输出字段</w:t>
            </w:r>
          </w:p>
        </w:tc>
        <w:tc>
          <w:tcPr>
            <w:tcW w:type="dxa" w:w="6500"/>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说明</w:t>
            </w:r>
          </w:p>
        </w:tc>
      </w:tr>
      <w:tr>
        <w:tc>
          <w:tcPr>
            <w:tcW w:type="dxa" w:w="21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年</w:t>
            </w:r>
          </w:p>
        </w:tc>
        <w:tc>
          <w:tcPr>
            <w:tcW w:type="dxa" w:w="65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按入院日期</w:t>
            </w:r>
          </w:p>
        </w:tc>
      </w:tr>
      <w:tr>
        <w:tc>
          <w:tcPr>
            <w:tcW w:type="dxa" w:w="21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月</w:t>
            </w:r>
          </w:p>
        </w:tc>
        <w:tc>
          <w:tcPr>
            <w:tcW w:type="dxa" w:w="65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 至 12</w:t>
            </w:r>
          </w:p>
        </w:tc>
      </w:tr>
      <w:tr>
        <w:tc>
          <w:tcPr>
            <w:tcW w:type="dxa" w:w="21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出院科别</w:t>
            </w:r>
          </w:p>
        </w:tc>
        <w:tc>
          <w:tcPr>
            <w:tcW w:type="dxa" w:w="65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病区全称</w:t>
            </w:r>
          </w:p>
        </w:tc>
      </w:tr>
      <w:tr>
        <w:tc>
          <w:tcPr>
            <w:tcW w:type="dxa" w:w="2140"/>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住院人次</w:t>
            </w:r>
          </w:p>
        </w:tc>
        <w:tc>
          <w:tcPr>
            <w:tcW w:type="dxa" w:w="6500"/>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该病区该月的出院人次</w:t>
            </w:r>
          </w:p>
        </w:tc>
      </w:tr>
    </w:tbl>
    <w:p/>
    <w:p>
      <w:pPr>
        <w:pStyle w:val="Heading2"/>
      </w:pPr>
      <w:r>
        <w:rPr>
          <w:rFonts w:ascii="Times New Roman" w:hAnsi="Times New Roman" w:eastAsia="黑体"/>
          <w:color w:val="000000"/>
        </w:rPr>
        <w:t>第 2 项 逐月 × 逐病区 急诊入院住院人次</w:t>
      </w:r>
    </w:p>
    <w:p>
      <w:r>
        <w:t>字段同第 1 项，增加筛选条件：</w:t>
      </w:r>
      <w:r>
        <w:rPr>
          <w:b/>
        </w:rPr>
        <w:t>入院途径（或入院方式）为「急诊」</w:t>
      </w:r>
      <w:r>
        <w:t>。</w:t>
      </w:r>
    </w:p>
    <w:p>
      <w:r>
        <w:t>说明：胃十二指肠穿孔均为急诊起病，以急诊入院量作分母可进一步排除择期手术量波动（尤其新冠期间择期手术停摆）的干扰。若信息系统中无此字段或不可靠，本项可跳过，请在回复中注明。</w:t>
      </w:r>
    </w:p>
    <w:p>
      <w:pPr>
        <w:pStyle w:val="Heading2"/>
      </w:pPr>
      <w:r>
        <w:rPr>
          <w:rFonts w:ascii="Times New Roman" w:hAnsi="Times New Roman" w:eastAsia="黑体"/>
          <w:color w:val="000000"/>
        </w:rPr>
        <w:t>第 3 项 逐月消化道异物住院人次</w:t>
      </w:r>
    </w:p>
    <w:p>
      <w:r>
        <w:t xml:space="preserve">筛选：出院诊断（主要诊断或其他诊断中任一出现即计入）编码属于 </w:t>
      </w:r>
      <w:r>
        <w:rPr>
          <w:b/>
        </w:rPr>
        <w:t>ICD-10 T18 及其全部亚目</w:t>
      </w:r>
      <w:r>
        <w:t>。</w:t>
      </w:r>
    </w:p>
    <w:p>
      <w:r>
        <w:t>本课题病例中实际出现过的相关编码，供贵室核对编码习惯：T18.100、T18.200、T18.300、T18.300x003、T18.301、T18.400、T18.900、T18.901。</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320"/>
        <w:gridCol w:w="4320"/>
      </w:tblGrid>
      <w:tr>
        <w:trPr>
          <w:tblHeader w:val="true"/>
        </w:trPr>
        <w:tc>
          <w:tcPr>
            <w:tcW w:type="dxa" w:w="4320"/>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输出字段</w:t>
            </w:r>
          </w:p>
        </w:tc>
        <w:tc>
          <w:tcPr>
            <w:tcW w:type="dxa" w:w="4320"/>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说明</w:t>
            </w:r>
          </w:p>
        </w:tc>
      </w:tr>
      <w:tr>
        <w:tc>
          <w:tcPr>
            <w:tcW w:type="dxa" w:w="432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年</w:t>
            </w:r>
          </w:p>
        </w:tc>
        <w:tc>
          <w:tcPr>
            <w:tcW w:type="dxa" w:w="432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按入院日期</w:t>
            </w:r>
          </w:p>
        </w:tc>
      </w:tr>
      <w:tr>
        <w:tc>
          <w:tcPr>
            <w:tcW w:type="dxa" w:w="432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月</w:t>
            </w:r>
          </w:p>
        </w:tc>
        <w:tc>
          <w:tcPr>
            <w:tcW w:type="dxa" w:w="432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 至 12</w:t>
            </w:r>
          </w:p>
        </w:tc>
      </w:tr>
      <w:tr>
        <w:tc>
          <w:tcPr>
            <w:tcW w:type="dxa" w:w="432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出院科别</w:t>
            </w:r>
          </w:p>
        </w:tc>
        <w:tc>
          <w:tcPr>
            <w:tcW w:type="dxa" w:w="432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病区全称</w:t>
            </w:r>
          </w:p>
        </w:tc>
      </w:tr>
      <w:tr>
        <w:tc>
          <w:tcPr>
            <w:tcW w:type="dxa" w:w="432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住院人次</w:t>
            </w:r>
          </w:p>
        </w:tc>
        <w:tc>
          <w:tcPr>
            <w:tcW w:type="dxa" w:w="432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出院诊断中出现 T18 的人次</w:t>
            </w:r>
          </w:p>
        </w:tc>
      </w:tr>
      <w:tr>
        <w:tc>
          <w:tcPr>
            <w:tcW w:type="dxa" w:w="4320"/>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其中主要诊断为 T18 的人次</w:t>
            </w:r>
          </w:p>
        </w:tc>
        <w:tc>
          <w:tcPr>
            <w:tcW w:type="dxa" w:w="4320"/>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单独一列</w:t>
            </w:r>
          </w:p>
        </w:tc>
      </w:tr>
    </w:tbl>
    <w:p/>
    <w:p>
      <w:pPr>
        <w:pStyle w:val="Heading2"/>
      </w:pPr>
      <w:r>
        <w:rPr>
          <w:rFonts w:ascii="Times New Roman" w:hAnsi="Times New Roman" w:eastAsia="黑体"/>
          <w:color w:val="000000"/>
        </w:rPr>
        <w:t>第 4 项 病区沿革、统计字段与数据完整性说明</w:t>
      </w:r>
    </w:p>
    <w:p>
      <w:r>
        <w:t>请确认并补充 2016 年至 2026 年间上述病区的更名情况及其生效时间（文字说明即可）。</w:t>
      </w:r>
    </w:p>
    <w:p>
      <w:r>
        <w:t>已知情况（由课题组提供，请贵室核实确认）：</w:t>
      </w:r>
      <w:r>
        <w:rPr>
          <w:b/>
        </w:rPr>
        <w:t>2024 年 8 月前后，普外一病区更名为胃肠外科病区，普外二病区更名为肝胆外科/肿瘤外科病区</w:t>
      </w:r>
      <w:r>
        <w:t>；在此之前该两病区并未设立。</w:t>
      </w:r>
    </w:p>
    <w:p>
      <w:r>
        <w:t>需贵室确认以下四点：</w:t>
      </w:r>
    </w:p>
    <w:p>
      <w:r>
        <w:t>1. 上述更名的</w:t>
      </w:r>
      <w:r>
        <w:rPr>
          <w:b/>
        </w:rPr>
        <w:t>确切生效日期</w:t>
      </w:r>
      <w:r>
        <w:t>（至少精确到月）。</w:t>
      </w:r>
    </w:p>
    <w:p>
      <w:r>
        <w:t xml:space="preserve">2. </w:t>
      </w:r>
      <w:r>
        <w:rPr>
          <w:b/>
        </w:rPr>
        <w:t>统计所依据的字段</w:t>
      </w:r>
      <w:r>
        <w:t>。本课题病例资料中，2020 至 2023 年已有部分病例的出院科别显示为「胃肠外科病区」或「肝胆外科/肿瘤外科病区」，而该两病区当时尚未设立，推测这些记录反映的是普外科内部的专业组归属而非实际病区。请说明贵室统计住院量时依据的是</w:t>
      </w:r>
      <w:r>
        <w:rPr>
          <w:b/>
        </w:rPr>
        <w:t>病区</w:t>
      </w:r>
      <w:r>
        <w:t>字段还是</w:t>
      </w:r>
      <w:r>
        <w:rPr>
          <w:b/>
        </w:rPr>
        <w:t>专业组</w:t>
      </w:r>
      <w:r>
        <w:t>字段，以及两者在历史数据中是否存在类似的不一致。</w:t>
      </w:r>
    </w:p>
    <w:p>
      <w:r>
        <w:t>3. 历史住院量是否已按现行病区名称</w:t>
      </w:r>
      <w:r>
        <w:rPr>
          <w:b/>
        </w:rPr>
        <w:t>追溯归并</w:t>
      </w:r>
      <w:r>
        <w:t>。若已追溯，请注明追溯的起始时间；若未追溯，则 2024 年 8 月以前的住院量应仍挂在普外一病区、普外二病区名下。</w:t>
      </w:r>
    </w:p>
    <w:p>
      <w:r>
        <w:t xml:space="preserve">4. </w:t>
      </w:r>
      <w:r>
        <w:rPr>
          <w:b/>
        </w:rPr>
        <w:t>2019 年 7 月至 2020 年 3 月的住院数据是否完整。</w:t>
      </w:r>
      <w:r>
        <w:t xml:space="preserve"> 本课题从院内科研数据平台导出的两份数据（胃十二指肠穿孔、消化道异物）在这 9 个月内住院记录均为零，而前后月份均正常（消化道异物住院每月 5 至 15 次），推测为平台数据缺失。请说明：（1）贵室病案首页系统在此期间的住院数据是否完整；（2）若完整，第 1、2、3、5、6 项请照常填报这 9 个月的实际数字，</w:t>
      </w:r>
      <w:r>
        <w:rPr>
          <w:b/>
        </w:rPr>
        <w:t>不要因科研平台缺失而填 0</w:t>
      </w:r>
      <w:r>
        <w:t>；（3）如知晓科研平台缺失的原因（如系统切换、数据迁移）及能否补导，请一并说明。</w:t>
      </w:r>
    </w:p>
    <w:p>
      <w:r>
        <w:t>背景：上述四点决定了住院量时间序列能否跨年比较。第 4 点尤其关键：若官方数据在该 9 个月有数而科研平台为零，这段时间的分子与分母无法配对，本课题须将其从观察期中扣除，因此需要贵室明确告知。若普外一病区在更名后住院量归零，而本课题分子在同期仍有病例，发生率计算将出现严重错误。为规避此问题，第 1 项已要求按病区逐一列出、不作预先合并，本课题将在分析时自行把四个名称归并为同一口径；</w:t>
      </w:r>
      <w:r>
        <w:rPr>
          <w:b/>
        </w:rPr>
        <w:t>因此即使贵室认为某些名称在某些年份无数据，也请保留该行并填 0，不要省略。</w:t>
      </w:r>
    </w:p>
    <w:p>
      <w:pPr>
        <w:pStyle w:val="Heading2"/>
      </w:pPr>
      <w:r>
        <w:rPr>
          <w:rFonts w:ascii="Times New Roman" w:hAnsi="Times New Roman" w:eastAsia="黑体"/>
          <w:color w:val="000000"/>
        </w:rPr>
        <w:t>第 5 项（可选）全院逐月住院总人次</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571"/>
        <w:gridCol w:w="5069"/>
      </w:tblGrid>
      <w:tr>
        <w:trPr>
          <w:tblHeader w:val="true"/>
        </w:trPr>
        <w:tc>
          <w:tcPr>
            <w:tcW w:type="dxa" w:w="3571"/>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输出字段</w:t>
            </w:r>
          </w:p>
        </w:tc>
        <w:tc>
          <w:tcPr>
            <w:tcW w:type="dxa" w:w="5069"/>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说明</w:t>
            </w:r>
          </w:p>
        </w:tc>
      </w:tr>
      <w:tr>
        <w:tc>
          <w:tcPr>
            <w:tcW w:type="dxa" w:w="357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年</w:t>
            </w:r>
          </w:p>
        </w:tc>
        <w:tc>
          <w:tcPr>
            <w:tcW w:type="dxa" w:w="506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按入院日期</w:t>
            </w:r>
          </w:p>
        </w:tc>
      </w:tr>
      <w:tr>
        <w:tc>
          <w:tcPr>
            <w:tcW w:type="dxa" w:w="357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月</w:t>
            </w:r>
          </w:p>
        </w:tc>
        <w:tc>
          <w:tcPr>
            <w:tcW w:type="dxa" w:w="506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 至 12</w:t>
            </w:r>
          </w:p>
        </w:tc>
      </w:tr>
      <w:tr>
        <w:tc>
          <w:tcPr>
            <w:tcW w:type="dxa" w:w="3571"/>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住院人次</w:t>
            </w:r>
          </w:p>
        </w:tc>
        <w:tc>
          <w:tcPr>
            <w:tcW w:type="dxa" w:w="5069"/>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全院合计</w:t>
            </w:r>
          </w:p>
        </w:tc>
      </w:tr>
    </w:tbl>
    <w:p/>
    <w:p>
      <w:r>
        <w:t>说明：仅用作敏感性分析。因该指标在新冠流行期及 2023 年支原体肺炎流行期受呼吸系统疾病住院量剧烈波动影响，不作为主要分母使用。</w:t>
      </w:r>
    </w:p>
    <w:p>
      <w:pPr>
        <w:pStyle w:val="Heading2"/>
      </w:pPr>
      <w:r>
        <w:rPr>
          <w:rFonts w:ascii="Times New Roman" w:hAnsi="Times New Roman" w:eastAsia="黑体"/>
          <w:color w:val="000000"/>
        </w:rPr>
        <w:t>第 6 项 逐月 × 编码组 穿孔相关住院人次（病例检索完整性核对）</w:t>
      </w:r>
    </w:p>
    <w:p>
      <w:r>
        <w:t>范围：</w:t>
      </w:r>
      <w:r>
        <w:rPr>
          <w:b/>
        </w:rPr>
        <w:t>全院</w:t>
      </w:r>
      <w:r>
        <w:t>，不限病区。筛选：出院诊断（主要诊断或其他诊断中任一出现即计入）属于下列任一编码组。括号内为本课题病例中实际出现过的编码，供贵室核对编码习惯；同组内含义相同的其他亚目请一并计入。</w:t>
      </w:r>
    </w:p>
    <w:p>
      <w:pPr>
        <w:sectPr>
          <w:pgSz w:w="12240" w:h="15840"/>
          <w:pgMar w:top="1440" w:right="1800" w:bottom="1440" w:left="1800" w:header="720" w:footer="720" w:gutter="0"/>
          <w:cols w:space="720"/>
          <w:docGrid w:linePitch="360"/>
        </w:sectP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548"/>
        <w:gridCol w:w="8692"/>
      </w:tblGrid>
      <w:tr>
        <w:trPr>
          <w:tblHeader w:val="true"/>
        </w:trPr>
        <w:tc>
          <w:tcPr>
            <w:tcW w:type="dxa" w:w="354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编码组</w:t>
            </w:r>
          </w:p>
        </w:tc>
        <w:tc>
          <w:tcPr>
            <w:tcW w:type="dxa" w:w="8692"/>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纳入编码</w:t>
            </w:r>
          </w:p>
        </w:tc>
      </w:tr>
      <w:tr>
        <w:tc>
          <w:tcPr>
            <w:tcW w:type="dxa" w:w="354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组 1 胃穿孔、胃破裂</w:t>
            </w:r>
          </w:p>
        </w:tc>
        <w:tc>
          <w:tcPr>
            <w:tcW w:type="dxa" w:w="86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K31.8 下胃穿孔、胃破裂的亚目（K31.814 胃穿孔、K31.813 胃破裂）</w:t>
            </w:r>
          </w:p>
        </w:tc>
      </w:tr>
      <w:tr>
        <w:tc>
          <w:tcPr>
            <w:tcW w:type="dxa" w:w="354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组 2 十二指肠穿孔</w:t>
            </w:r>
          </w:p>
        </w:tc>
        <w:tc>
          <w:tcPr>
            <w:tcW w:type="dxa" w:w="86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K31.8 下十二指肠穿孔的亚目（K31.800x806 十二指肠穿孔）</w:t>
            </w:r>
          </w:p>
        </w:tc>
      </w:tr>
      <w:tr>
        <w:tc>
          <w:tcPr>
            <w:tcW w:type="dxa" w:w="354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组 3 消化性溃疡伴穿孔</w:t>
            </w:r>
          </w:p>
        </w:tc>
        <w:tc>
          <w:tcPr>
            <w:tcW w:type="dxa" w:w="86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K25、K26、K27 中伴穿孔的亚目，即 .1、.2、.5、.6（K25.101、K26.100、K26.500x001、K27.501）</w:t>
            </w:r>
          </w:p>
        </w:tc>
      </w:tr>
      <w:tr>
        <w:tc>
          <w:tcPr>
            <w:tcW w:type="dxa" w:w="354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组 4 新生儿胃穿孔、胃壁肌层缺损</w:t>
            </w:r>
          </w:p>
        </w:tc>
        <w:tc>
          <w:tcPr>
            <w:tcW w:type="dxa" w:w="86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P78.8 下新生儿胃穿孔、胃破裂的亚目（P78.800x009）；Q40.204 先天性胃壁肌层缺损</w:t>
            </w:r>
          </w:p>
        </w:tc>
      </w:tr>
      <w:tr>
        <w:tc>
          <w:tcPr>
            <w:tcW w:type="dxa" w:w="354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组 5 胃、十二指肠损伤</w:t>
            </w:r>
          </w:p>
        </w:tc>
        <w:tc>
          <w:tcPr>
            <w:tcW w:type="dxa" w:w="8692"/>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S36.3 胃损伤全部亚目（S36.300）；S36.4 下十二指肠损伤的亚目（S36.405）</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351"/>
        <w:gridCol w:w="8889"/>
      </w:tblGrid>
      <w:tr>
        <w:trPr>
          <w:tblHeader w:val="true"/>
        </w:trPr>
        <w:tc>
          <w:tcPr>
            <w:tcW w:type="dxa" w:w="3351"/>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输出字段</w:t>
            </w:r>
          </w:p>
        </w:tc>
        <w:tc>
          <w:tcPr>
            <w:tcW w:type="dxa" w:w="8889"/>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说明</w:t>
            </w:r>
          </w:p>
        </w:tc>
      </w:tr>
      <w:tr>
        <w:tc>
          <w:tcPr>
            <w:tcW w:type="dxa" w:w="335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年</w:t>
            </w:r>
          </w:p>
        </w:tc>
        <w:tc>
          <w:tcPr>
            <w:tcW w:type="dxa" w:w="888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按入院日期</w:t>
            </w:r>
          </w:p>
        </w:tc>
      </w:tr>
      <w:tr>
        <w:tc>
          <w:tcPr>
            <w:tcW w:type="dxa" w:w="335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月</w:t>
            </w:r>
          </w:p>
        </w:tc>
        <w:tc>
          <w:tcPr>
            <w:tcW w:type="dxa" w:w="888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 至 12</w:t>
            </w:r>
          </w:p>
        </w:tc>
      </w:tr>
      <w:tr>
        <w:tc>
          <w:tcPr>
            <w:tcW w:type="dxa" w:w="335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组 1 至组 5 住院人次</w:t>
            </w:r>
          </w:p>
        </w:tc>
        <w:tc>
          <w:tcPr>
            <w:tcW w:type="dxa" w:w="888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各组分别计数；同一次住院出现多个编码组时，在各组分别计入</w:t>
            </w:r>
          </w:p>
        </w:tc>
      </w:tr>
      <w:tr>
        <w:tc>
          <w:tcPr>
            <w:tcW w:type="dxa" w:w="3351"/>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合计（去重）</w:t>
            </w:r>
          </w:p>
        </w:tc>
        <w:tc>
          <w:tcPr>
            <w:tcW w:type="dxa" w:w="8889"/>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出现上述任一编码组的住院人次，同一次住院只计 1 次</w:t>
            </w:r>
          </w:p>
        </w:tc>
      </w:tr>
    </w:tbl>
    <w:p/>
    <w:p>
      <w:pPr>
        <w:sectPr>
          <w:pgSz w:w="15840" w:h="12240" w:orient="landscape"/>
          <w:pgMar w:top="1440" w:right="1800" w:bottom="1440" w:left="1800" w:header="720" w:footer="720" w:gutter="0"/>
          <w:cols w:space="720"/>
          <w:docGrid w:linePitch="360"/>
        </w:sectPr>
      </w:pPr>
    </w:p>
    <w:p>
      <w:r>
        <w:t>说明：本项用于逐月核对本课题的病例检索是否完整。若某月贵室计数多于本课题检索到的病例数，课题组将在科研数据平台中对该月做定向补充检索；本项本身仍为汇总计数。组 5 单列，是因为创伤性胃、十二指肠破裂多编码为损伤，诊断名称中不一定含「穿孔」字样，按名称检索时容易遗漏。</w:t>
      </w:r>
    </w:p>
    <w:p>
      <w:pPr>
        <w:pStyle w:val="Heading1"/>
      </w:pPr>
      <w:r>
        <w:rPr>
          <w:rFonts w:ascii="Times New Roman" w:hAnsi="Times New Roman" w:eastAsia="黑体"/>
          <w:color w:val="000000"/>
        </w:rPr>
        <w:t>五、交付格式</w:t>
      </w:r>
    </w:p>
    <w:p>
      <w:r>
        <w:t>Excel 文件，每项数据单独一个工作表，首行为表头。数值列请输出为纯数字，不带千分位分隔符与单位。某病区某月无住院时请填 0，不要留空或省略该行。</w:t>
      </w:r>
    </w:p>
    <w:p>
      <w:pPr>
        <w:pStyle w:val="Heading1"/>
      </w:pPr>
      <w:r>
        <w:rPr>
          <w:rFonts w:ascii="Times New Roman" w:hAnsi="Times New Roman" w:eastAsia="黑体"/>
          <w:color w:val="000000"/>
        </w:rPr>
        <w:t>六、数据用途与保密承诺</w:t>
      </w:r>
    </w:p>
    <w:p>
      <w:r>
        <w:t>本次调取的数据仅用于上述已获伦理批准课题的分母估计、发生率分析及病例检索完整性核对，均为汇总计数，不包含任何患者可识别信息。数据由课题组专人管理，不向院外提供，研究结果发表时仅呈现汇总统计量。</w:t>
      </w:r>
    </w:p>
    <w:p>
      <w:r>
        <w:t>申请人签字：＿＿＿＿＿＿　　科室负责人签字：＿＿＿＿＿＿　　日期：＿＿＿＿年＿＿月＿＿日</w:t>
      </w:r>
    </w:p>
    <w:p>
      <w:r>
        <w:t>病案室经办人：＿＿＿＿＿＿　　完成日期：＿＿＿＿年＿＿月＿＿日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