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eastAsia="黑体"/>
          <w:color w:val="000000"/>
        </w:rPr>
        <w:t>统计分析计划（SAP）</w:t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186"/>
        <w:gridCol w:w="11054"/>
      </w:tblGrid>
      <w:tr>
        <w:trPr>
          <w:tblHeader w:val="true"/>
        </w:trPr>
        <w:tc>
          <w:tcPr>
            <w:tcW w:type="dxa" w:w="1186"/>
            <w:tcBorders>
              <w:top w:val="single" w:sz="12" w:space="0" w:color="000000"/>
              <w:left w:val="nil" w:sz="4" w:space="0" w:color="000000"/>
              <w:bottom w:val="single" w:sz="6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项目</w:t>
            </w:r>
          </w:p>
        </w:tc>
        <w:tc>
          <w:tcPr>
            <w:tcW w:type="dxa" w:w="11054"/>
            <w:tcBorders>
              <w:top w:val="single" w:sz="12" w:space="0" w:color="000000"/>
              <w:left w:val="nil" w:sz="4" w:space="0" w:color="000000"/>
              <w:bottom w:val="single" w:sz="6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1186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课题名称</w:t>
            </w:r>
          </w:p>
        </w:tc>
        <w:tc>
          <w:tcPr>
            <w:tcW w:type="dxa" w:w="11054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儿童胃十二指肠穿孔病因谱的十年变迁及临床特征分析</w:t>
            </w:r>
          </w:p>
        </w:tc>
      </w:tr>
      <w:tr>
        <w:tc>
          <w:tcPr>
            <w:tcW w:type="dxa" w:w="1186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对应方案</w:t>
            </w:r>
          </w:p>
        </w:tc>
        <w:tc>
          <w:tcPr>
            <w:tcW w:type="dxa" w:w="11054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研究方案 V2.0（伦理批件号 2026R090-E01）</w:t>
            </w:r>
          </w:p>
        </w:tc>
      </w:tr>
      <w:tr>
        <w:tc>
          <w:tcPr>
            <w:tcW w:type="dxa" w:w="1186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SAP 版本</w:t>
            </w:r>
          </w:p>
        </w:tc>
        <w:tc>
          <w:tcPr>
            <w:tcW w:type="dxa" w:w="11054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V1.0，2026 年 9 月 26 日</w:t>
            </w:r>
          </w:p>
        </w:tc>
      </w:tr>
      <w:tr>
        <w:tc>
          <w:tcPr>
            <w:tcW w:type="dxa" w:w="1186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定稿时点</w:t>
            </w:r>
          </w:p>
        </w:tc>
        <w:tc>
          <w:tcPr>
            <w:tcW w:type="dxa" w:w="11054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须在双人裁定合并（merge_adjudication.py 生成终裁数据集）之前定稿，定稿后修改须记入文末修订记录并说明理由</w:t>
            </w:r>
          </w:p>
        </w:tc>
      </w:tr>
      <w:tr>
        <w:tc>
          <w:tcPr>
            <w:tcW w:type="dxa" w:w="1186"/>
            <w:tcBorders>
              <w:top w:val="nil" w:sz="4" w:space="0" w:color="000000"/>
              <w:left w:val="nil" w:sz="4" w:space="0" w:color="000000"/>
              <w:bottom w:val="single" w:sz="12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执行脚本</w:t>
            </w:r>
          </w:p>
        </w:tc>
        <w:tc>
          <w:tcPr>
            <w:tcW w:type="dxa" w:w="11054"/>
            <w:tcBorders>
              <w:top w:val="nil" w:sz="4" w:space="0" w:color="000000"/>
              <w:left w:val="nil" w:sz="4" w:space="0" w:color="000000"/>
              <w:bottom w:val="single" w:sz="12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analyze_etiology.py（本 SAP 各条目在脚本中均有对应函数）</w:t>
            </w:r>
          </w:p>
        </w:tc>
      </w:tr>
    </w:tbl>
    <w:p/>
    <w:p>
      <w:pPr>
        <w:sectPr>
          <w:pgSz w:w="15840" w:h="12240" w:orient="landscape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1"/>
      </w:pPr>
      <w:r>
        <w:rPr>
          <w:rFonts w:ascii="Times New Roman" w:hAnsi="Times New Roman" w:eastAsia="黑体"/>
          <w:color w:val="000000"/>
        </w:rPr>
        <w:t>一、研究问题与主要假设</w:t>
      </w:r>
    </w:p>
    <w:p>
      <w:r>
        <w:t>1. 本院 2016 年 6 月至 2026 年 5 月收治的儿童胃十二指肠穿孔，病因构成如何，是否随时间变化。</w:t>
      </w:r>
    </w:p>
    <w:p>
      <w:r>
        <w:t>2. 主要假设：异物相关穿孔（尤其是磁性异物）在全部胃十二指肠穿孔中的占比随入院年份上升。</w:t>
      </w:r>
    </w:p>
    <w:p>
      <w:r>
        <w:t>3. 次要问题：病因与年龄组的关联；病例数的变化是否超出本院同期外科业务量的变化；异物相关穿孔的增加是否仅由异物住院量增加所致（穿孔转化率是否改变）。</w:t>
      </w:r>
    </w:p>
    <w:p>
      <w:pPr>
        <w:pStyle w:val="Heading1"/>
      </w:pPr>
      <w:r>
        <w:rPr>
          <w:rFonts w:ascii="Times New Roman" w:hAnsi="Times New Roman" w:eastAsia="黑体"/>
          <w:color w:val="000000"/>
        </w:rPr>
        <w:t>二、分析人群</w:t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596"/>
        <w:gridCol w:w="9644"/>
      </w:tblGrid>
      <w:tr>
        <w:trPr>
          <w:tblHeader w:val="true"/>
        </w:trPr>
        <w:tc>
          <w:tcPr>
            <w:tcW w:type="dxa" w:w="2596"/>
            <w:tcBorders>
              <w:top w:val="single" w:sz="12" w:space="0" w:color="000000"/>
              <w:left w:val="nil" w:sz="4" w:space="0" w:color="000000"/>
              <w:bottom w:val="single" w:sz="6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集合</w:t>
            </w:r>
          </w:p>
        </w:tc>
        <w:tc>
          <w:tcPr>
            <w:tcW w:type="dxa" w:w="9644"/>
            <w:tcBorders>
              <w:top w:val="single" w:sz="12" w:space="0" w:color="000000"/>
              <w:left w:val="nil" w:sz="4" w:space="0" w:color="000000"/>
              <w:bottom w:val="single" w:sz="6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定义</w:t>
            </w:r>
          </w:p>
        </w:tc>
      </w:tr>
      <w:tr>
        <w:tc>
          <w:tcPr>
            <w:tcW w:type="dxa" w:w="2596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检索集</w:t>
            </w:r>
          </w:p>
        </w:tc>
        <w:tc>
          <w:tcPr>
            <w:tcW w:type="dxa" w:w="9644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科研数据平台检索得到的全部相关住院，107 次（患儿 104 例）</w:t>
            </w:r>
          </w:p>
        </w:tc>
      </w:tr>
      <w:tr>
        <w:tc>
          <w:tcPr>
            <w:tcW w:type="dxa" w:w="2596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纳入集（主要分析集）</w:t>
            </w:r>
          </w:p>
        </w:tc>
        <w:tc>
          <w:tcPr>
            <w:tcW w:type="dxa" w:w="9644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检索集中经双人裁定、终裁为“是否排除＝否”的住院；分析单位为一次穿孔事件（同一次穿孔的再次住院已按 E4 排除）</w:t>
            </w:r>
          </w:p>
        </w:tc>
      </w:tr>
      <w:tr>
        <w:tc>
          <w:tcPr>
            <w:tcW w:type="dxa" w:w="2596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一致集（敏感性分析用）</w:t>
            </w:r>
          </w:p>
        </w:tc>
        <w:tc>
          <w:tcPr>
            <w:tcW w:type="dxa" w:w="9644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纳入集中病因大类由两名裁定者独立判定一致、无须仲裁者</w:t>
            </w:r>
          </w:p>
        </w:tc>
      </w:tr>
      <w:tr>
        <w:tc>
          <w:tcPr>
            <w:tcW w:type="dxa" w:w="2596"/>
            <w:tcBorders>
              <w:top w:val="nil" w:sz="4" w:space="0" w:color="000000"/>
              <w:left w:val="nil" w:sz="4" w:space="0" w:color="000000"/>
              <w:bottom w:val="single" w:sz="12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非新生儿集（敏感性分析用）</w:t>
            </w:r>
          </w:p>
        </w:tc>
        <w:tc>
          <w:tcPr>
            <w:tcW w:type="dxa" w:w="9644"/>
            <w:tcBorders>
              <w:top w:val="nil" w:sz="4" w:space="0" w:color="000000"/>
              <w:left w:val="nil" w:sz="4" w:space="0" w:color="000000"/>
              <w:bottom w:val="single" w:sz="12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纳入集中入院日龄＞28 天者</w:t>
            </w:r>
          </w:p>
        </w:tc>
      </w:tr>
    </w:tbl>
    <w:p/>
    <w:p>
      <w:pPr>
        <w:sectPr>
          <w:pgSz w:w="15840" w:h="12240" w:orient="landscape"/>
          <w:pgMar w:top="1440" w:right="1800" w:bottom="1440" w:left="1800" w:header="720" w:footer="720" w:gutter="0"/>
          <w:cols w:space="720"/>
          <w:docGrid w:linePitch="360"/>
        </w:sectPr>
      </w:pPr>
    </w:p>
    <w:p>
      <w:r>
        <w:t>病例流程按 STROBE 报告：检索集 → 各排除条目（E1–E5）例数 → 纳入集；若第 6 项编码核对后补检到遗漏病例，另列“补检纳入”一栏。</w:t>
      </w:r>
    </w:p>
    <w:p>
      <w:pPr>
        <w:pStyle w:val="Heading1"/>
      </w:pPr>
      <w:r>
        <w:rPr>
          <w:rFonts w:ascii="Times New Roman" w:hAnsi="Times New Roman" w:eastAsia="黑体"/>
          <w:color w:val="000000"/>
        </w:rPr>
        <w:t>三、变量定义</w:t>
      </w:r>
    </w:p>
    <w:p>
      <w:pPr>
        <w:pStyle w:val="Heading2"/>
      </w:pPr>
      <w:r>
        <w:rPr>
          <w:rFonts w:ascii="Times New Roman" w:hAnsi="Times New Roman" w:eastAsia="黑体"/>
          <w:color w:val="000000"/>
        </w:rPr>
        <w:t>3.1 病因</w:t>
      </w:r>
    </w:p>
    <w:p>
      <w:pPr>
        <w:pStyle w:val="ListBullet"/>
      </w:pPr>
      <w:r>
        <w:t>裁定分类（6 类）：1 异物相关；2 新生儿自发性/胃壁肌层缺损；3 消化性溃疡；4 创伤；5 医源性；6 其他/特发性。操作性定义见裁定表“分类标准”。</w:t>
      </w:r>
    </w:p>
    <w:p>
      <w:pPr>
        <w:pStyle w:val="ListBullet"/>
      </w:pPr>
      <w:r>
        <w:t>分析分类（4 类，预先确定）：异物相关、新生儿自发性、消化性溃疡、其他（创伤＋医源性＋其他/特发性）。合并理由：创伤与医源性预计各不足 15 例，逐年仅 0–2 例，单列无法估计趋势。6 类结果始终以描述性表格完整呈现。</w:t>
      </w:r>
    </w:p>
    <w:p>
      <w:pPr>
        <w:pStyle w:val="ListBullet"/>
      </w:pPr>
      <w:r>
        <w:t>异物相关再分磁性与非磁性；磁性者记录取出枚数。</w:t>
      </w:r>
    </w:p>
    <w:p>
      <w:pPr>
        <w:pStyle w:val="Heading2"/>
      </w:pPr>
      <w:r>
        <w:rPr>
          <w:rFonts w:ascii="Times New Roman" w:hAnsi="Times New Roman" w:eastAsia="黑体"/>
          <w:color w:val="000000"/>
        </w:rPr>
        <w:t>3.2 年龄组</w:t>
      </w:r>
    </w:p>
    <w:p>
      <w:r>
        <w:t>新生儿（入院日龄≤28 天）、婴幼儿（29 天至＜3 岁）、学龄前（3 至＜6 岁）、学龄期（≥6 岁）。裁定表中“婴儿”（预计约 5 例）并入婴幼儿，以免出现过稀疏的单元格。</w:t>
      </w:r>
    </w:p>
    <w:p>
      <w:pPr>
        <w:pStyle w:val="Heading2"/>
      </w:pPr>
      <w:r>
        <w:rPr>
          <w:rFonts w:ascii="Times New Roman" w:hAnsi="Times New Roman" w:eastAsia="黑体"/>
          <w:color w:val="000000"/>
        </w:rPr>
        <w:t>3.3 时间</w:t>
      </w:r>
    </w:p>
    <w:p>
      <w:pPr>
        <w:pStyle w:val="ListBullet"/>
      </w:pPr>
      <w:r>
        <w:t>入院时间（连续）：入院年份＋（月份−0.5）/12，以 2021.0 为中心。</w:t>
      </w:r>
    </w:p>
    <w:p>
      <w:pPr>
        <w:pStyle w:val="ListBullet"/>
      </w:pPr>
      <w:r>
        <w:t>入院年份：2016–2026，其中 2016 年与 2026 年为不完整年度。</w:t>
      </w:r>
    </w:p>
    <w:p>
      <w:pPr>
        <w:pStyle w:val="ListBullet"/>
      </w:pPr>
      <w:r>
        <w:t>时期（预先确定，按新冠疫情阶段划分）：P1 疫情前 2016-06 至 2019-12；P2 疫情期 2020-01 至 2022-12；P3 疫情后 2023-01 至 2026-05。</w:t>
      </w:r>
    </w:p>
    <w:p>
      <w:pPr>
        <w:pStyle w:val="Heading2"/>
      </w:pPr>
      <w:r>
        <w:rPr>
          <w:rFonts w:ascii="Times New Roman" w:hAnsi="Times New Roman" w:eastAsia="黑体"/>
          <w:color w:val="000000"/>
        </w:rPr>
        <w:t>3.4 观察期与数据断档</w:t>
      </w:r>
    </w:p>
    <w:p>
      <w:pPr>
        <w:pStyle w:val="ListBullet"/>
      </w:pPr>
      <w:r>
        <w:t>研究窗口 2016-06 至 2026-05 共 120 个月。</w:t>
      </w:r>
    </w:p>
    <w:p>
      <w:pPr>
        <w:pStyle w:val="ListBullet"/>
      </w:pPr>
      <w:r>
        <w:t>2019-07 至 2020-03 共 9 个月，科研数据平台的穿孔导出与异物导出均为零，判定为平台断档。</w:t>
      </w:r>
    </w:p>
    <w:p>
      <w:pPr>
        <w:pStyle w:val="ListBullet"/>
      </w:pPr>
      <w:r>
        <w:t>断档期不计入观察时间，有效观察期为 111 个月：P1 37 个月、P2 33 个月、P3 41 个月。</w:t>
      </w:r>
    </w:p>
    <w:p>
      <w:pPr>
        <w:pStyle w:val="ListBullet"/>
      </w:pPr>
      <w:r>
        <w:t>若病案室确认该期数据完整、科研平台补导成功，则以补导后的完整数据重做全部分析，并以其为主要结果。</w:t>
      </w:r>
    </w:p>
    <w:p>
      <w:pPr>
        <w:pStyle w:val="ListBullet"/>
      </w:pPr>
      <w:r>
        <w:t>构成比类分析不受观察时长影响，但默认断档期病例的病因分布与其他时期相同（完全随机缺失），在局限性中说明。</w:t>
      </w:r>
    </w:p>
    <w:p>
      <w:pPr>
        <w:pStyle w:val="Heading2"/>
      </w:pPr>
      <w:r>
        <w:rPr>
          <w:rFonts w:ascii="Times New Roman" w:hAnsi="Times New Roman" w:eastAsia="黑体"/>
          <w:color w:val="000000"/>
        </w:rPr>
        <w:t>3.5 分母</w:t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936"/>
        <w:gridCol w:w="6042"/>
        <w:gridCol w:w="4263"/>
      </w:tblGrid>
      <w:tr>
        <w:trPr>
          <w:tblHeader w:val="true"/>
        </w:trPr>
        <w:tc>
          <w:tcPr>
            <w:tcW w:type="dxa" w:w="1936"/>
            <w:tcBorders>
              <w:top w:val="single" w:sz="12" w:space="0" w:color="000000"/>
              <w:left w:val="nil" w:sz="4" w:space="0" w:color="000000"/>
              <w:bottom w:val="single" w:sz="6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分母</w:t>
            </w:r>
          </w:p>
        </w:tc>
        <w:tc>
          <w:tcPr>
            <w:tcW w:type="dxa" w:w="6042"/>
            <w:tcBorders>
              <w:top w:val="single" w:sz="12" w:space="0" w:color="000000"/>
              <w:left w:val="nil" w:sz="4" w:space="0" w:color="000000"/>
              <w:bottom w:val="single" w:sz="6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来源</w:t>
            </w:r>
          </w:p>
        </w:tc>
        <w:tc>
          <w:tcPr>
            <w:tcW w:type="dxa" w:w="4263"/>
            <w:tcBorders>
              <w:top w:val="single" w:sz="12" w:space="0" w:color="000000"/>
              <w:left w:val="nil" w:sz="4" w:space="0" w:color="000000"/>
              <w:bottom w:val="single" w:sz="6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用途</w:t>
            </w:r>
          </w:p>
        </w:tc>
      </w:tr>
      <w:tr>
        <w:tc>
          <w:tcPr>
            <w:tcW w:type="dxa" w:w="1936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核心外科病区住院人次</w:t>
            </w:r>
          </w:p>
        </w:tc>
        <w:tc>
          <w:tcPr>
            <w:tcW w:type="dxa" w:w="6042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病案室第 1 项黄色列（新生儿外科、普外一/二、胃肠外科、肝胆外科/肿瘤外科，更名前后合并）</w:t>
            </w:r>
          </w:p>
        </w:tc>
        <w:tc>
          <w:tcPr>
            <w:tcW w:type="dxa" w:w="4263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主要分母</w:t>
            </w:r>
          </w:p>
        </w:tc>
      </w:tr>
      <w:tr>
        <w:tc>
          <w:tcPr>
            <w:tcW w:type="dxa" w:w="1936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核心＋扩展病区住院人次</w:t>
            </w:r>
          </w:p>
        </w:tc>
        <w:tc>
          <w:tcPr>
            <w:tcW w:type="dxa" w:w="6042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第 1 项全部列（另含新生儿内科各病区、重症医学科）</w:t>
            </w:r>
          </w:p>
        </w:tc>
        <w:tc>
          <w:tcPr>
            <w:tcW w:type="dxa" w:w="4263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敏感性分析</w:t>
            </w:r>
          </w:p>
        </w:tc>
      </w:tr>
      <w:tr>
        <w:tc>
          <w:tcPr>
            <w:tcW w:type="dxa" w:w="1936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急诊入院住院人次</w:t>
            </w:r>
          </w:p>
        </w:tc>
        <w:tc>
          <w:tcPr>
            <w:tcW w:type="dxa" w:w="6042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第 2 项</w:t>
            </w:r>
          </w:p>
        </w:tc>
        <w:tc>
          <w:tcPr>
            <w:tcW w:type="dxa" w:w="4263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敏感性分析（若病案室可提供）</w:t>
            </w:r>
          </w:p>
        </w:tc>
      </w:tr>
      <w:tr>
        <w:tc>
          <w:tcPr>
            <w:tcW w:type="dxa" w:w="1936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全院住院人次</w:t>
            </w:r>
          </w:p>
        </w:tc>
        <w:tc>
          <w:tcPr>
            <w:tcW w:type="dxa" w:w="6042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第 5 项</w:t>
            </w:r>
          </w:p>
        </w:tc>
        <w:tc>
          <w:tcPr>
            <w:tcW w:type="dxa" w:w="4263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敏感性分析（若病案室可提供）</w:t>
            </w:r>
          </w:p>
        </w:tc>
      </w:tr>
      <w:tr>
        <w:tc>
          <w:tcPr>
            <w:tcW w:type="dxa" w:w="1936"/>
            <w:tcBorders>
              <w:top w:val="nil" w:sz="4" w:space="0" w:color="000000"/>
              <w:left w:val="nil" w:sz="4" w:space="0" w:color="000000"/>
              <w:bottom w:val="single" w:sz="12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消化道异物住院人次</w:t>
            </w:r>
          </w:p>
        </w:tc>
        <w:tc>
          <w:tcPr>
            <w:tcW w:type="dxa" w:w="6042"/>
            <w:tcBorders>
              <w:top w:val="nil" w:sz="4" w:space="0" w:color="000000"/>
              <w:left w:val="nil" w:sz="4" w:space="0" w:color="000000"/>
              <w:bottom w:val="single" w:sz="12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消化道异物_逐月住院人次_v1.xlsx“任一T18_含补回”列</w:t>
            </w:r>
          </w:p>
        </w:tc>
        <w:tc>
          <w:tcPr>
            <w:tcW w:type="dxa" w:w="4263"/>
            <w:tcBorders>
              <w:top w:val="nil" w:sz="4" w:space="0" w:color="000000"/>
              <w:left w:val="nil" w:sz="4" w:space="0" w:color="000000"/>
              <w:bottom w:val="single" w:sz="12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异物穿孔转化率的分母；2016-06 无数据，该分析从 2016-07 起</w:t>
            </w:r>
          </w:p>
        </w:tc>
      </w:tr>
    </w:tbl>
    <w:p/>
    <w:p>
      <w:pPr>
        <w:sectPr>
          <w:pgSz w:w="15840" w:h="12240" w:orient="landscape"/>
          <w:pgMar w:top="1440" w:right="1800" w:bottom="1440" w:left="1800" w:header="720" w:footer="720" w:gutter="0"/>
          <w:cols w:space="720"/>
          <w:docGrid w:linePitch="360"/>
        </w:sectPr>
      </w:pPr>
    </w:p>
    <w:p>
      <w:r>
        <w:t>以上均按入院日期归月，与分子口径一致。上述比率均为“每万外科住院人次”一类的院内相对发生率，不是人群发病率，论文中不作人群发病率表述。</w:t>
      </w:r>
    </w:p>
    <w:p>
      <w:pPr>
        <w:pStyle w:val="Heading2"/>
      </w:pPr>
      <w:r>
        <w:rPr>
          <w:rFonts w:ascii="Times New Roman" w:hAnsi="Times New Roman" w:eastAsia="黑体"/>
          <w:color w:val="000000"/>
        </w:rPr>
        <w:t>3.6 临床变量</w:t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25"/>
        <w:gridCol w:w="10715"/>
      </w:tblGrid>
      <w:tr>
        <w:trPr>
          <w:tblHeader w:val="true"/>
        </w:trPr>
        <w:tc>
          <w:tcPr>
            <w:tcW w:type="dxa" w:w="1525"/>
            <w:tcBorders>
              <w:top w:val="single" w:sz="12" w:space="0" w:color="000000"/>
              <w:left w:val="nil" w:sz="4" w:space="0" w:color="000000"/>
              <w:bottom w:val="single" w:sz="6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类别</w:t>
            </w:r>
          </w:p>
        </w:tc>
        <w:tc>
          <w:tcPr>
            <w:tcW w:type="dxa" w:w="10715"/>
            <w:tcBorders>
              <w:top w:val="single" w:sz="12" w:space="0" w:color="000000"/>
              <w:left w:val="nil" w:sz="4" w:space="0" w:color="000000"/>
              <w:bottom w:val="single" w:sz="6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变量</w:t>
            </w:r>
          </w:p>
        </w:tc>
      </w:tr>
      <w:tr>
        <w:tc>
          <w:tcPr>
            <w:tcW w:type="dxa" w:w="1525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自动提取</w:t>
            </w:r>
          </w:p>
        </w:tc>
        <w:tc>
          <w:tcPr>
            <w:tcW w:type="dxa" w:w="10715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性别、年龄、年龄组、住院天数、入院与出院科别；入院后首次白细胞计数与 C 反应蛋白（入院 48 小时内的首个结果）；术后住院天数（出院日期−首次手术日期）；检索集内出院后 30 天再入院</w:t>
            </w:r>
          </w:p>
        </w:tc>
      </w:tr>
      <w:tr>
        <w:tc>
          <w:tcPr>
            <w:tcW w:type="dxa" w:w="1525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来自终裁数据集</w:t>
            </w:r>
          </w:p>
        </w:tc>
        <w:tc>
          <w:tcPr>
            <w:tcW w:type="dxa" w:w="10715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穿孔部位、穿孔数目、合并其他消化道穿孔、手术入路、HP 状态、结局</w:t>
            </w:r>
          </w:p>
        </w:tc>
      </w:tr>
      <w:tr>
        <w:tc>
          <w:tcPr>
            <w:tcW w:type="dxa" w:w="1525"/>
            <w:tcBorders>
              <w:top w:val="nil" w:sz="4" w:space="0" w:color="000000"/>
              <w:left w:val="nil" w:sz="4" w:space="0" w:color="000000"/>
              <w:bottom w:val="single" w:sz="12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来自次要终点提取表</w:t>
            </w:r>
          </w:p>
        </w:tc>
        <w:tc>
          <w:tcPr>
            <w:tcW w:type="dxa" w:w="10715"/>
            <w:tcBorders>
              <w:top w:val="nil" w:sz="4" w:space="0" w:color="000000"/>
              <w:left w:val="nil" w:sz="4" w:space="0" w:color="000000"/>
              <w:bottom w:val="single" w:sz="12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主诉病程；腹痛、呕吐、发热、腹胀、腹膜刺激征、入院时休克或脓毒症；治疗前影像游离气体；住院期间并发症（7 类及其他）与最高 Clavien–Dindo 分级；非计划再次手术；非手术再干预；首次肠内摄入与全量肠内营养的天数</w:t>
            </w:r>
          </w:p>
        </w:tc>
      </w:tr>
    </w:tbl>
    <w:p/>
    <w:p>
      <w:pPr>
        <w:sectPr>
          <w:pgSz w:w="15840" w:h="12240" w:orient="landscape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ListBullet"/>
      </w:pPr>
      <w:r>
        <w:rPr>
          <w:b/>
        </w:rPr>
        <w:t>提取方式：</w:t>
      </w:r>
      <w:r>
        <w:t xml:space="preserve"> 次要终点提取表由 1 人提取、第 2 人逐例核对（build_extraction_sheet.py），各变量的操作性定义见该表“变量定义”。</w:t>
      </w:r>
    </w:p>
    <w:p>
      <w:pPr>
        <w:pStyle w:val="ListBullet"/>
      </w:pPr>
      <w:r>
        <w:rPr>
          <w:b/>
        </w:rPr>
        <w:t>并入条件：</w:t>
      </w:r>
      <w:r>
        <w:t xml:space="preserve"> 全部纳入病例核对完成、且提取表“逻辑核查”无错误时，才并入分析。</w:t>
      </w:r>
    </w:p>
    <w:p>
      <w:pPr>
        <w:pStyle w:val="ListBullet"/>
      </w:pPr>
      <w:r>
        <w:rPr>
          <w:b/>
        </w:rPr>
        <w:t>缺失处理：</w:t>
      </w:r>
      <w:r>
        <w:t xml:space="preserve"> 科研平台未导出病程记录，原文未记载者回 HIS 查阅，仍查不到的记为不详或 NR。各变量以记录明确者为分母报告，并报告缺失数。</w:t>
      </w:r>
    </w:p>
    <w:p>
      <w:pPr>
        <w:pStyle w:val="ListBullet"/>
      </w:pPr>
      <w:r>
        <w:rPr>
          <w:b/>
        </w:rPr>
        <w:t>进食时间（2026-09-26 决定）：</w:t>
      </w:r>
      <w:r>
        <w:t xml:space="preserve"> 首次肠内摄入、全量肠内营养两项，对全部纳入病例逐例回 HIS 补查病程记录，不满足于科研平台导出资料未记载即判定为 NR。是否将其转为表 5 之外的组间比较（Kruskal–Wallis），留待补查完成、核对无误后由 analyze_etiology.py 自动判断：</w:t>
      </w:r>
      <w:r>
        <w:rPr>
          <w:b/>
        </w:rPr>
        <w:t>判断只依据两项各自的 NR 比例（阈值 30%，先于任何结果锁定，不因观察到的组间差异而改变判断），结果与依据一并写入“表5附_进食时间判定”</w:t>
      </w:r>
      <w:r>
        <w:t>，不额外人工决定，避免因结果影响分析方式的选择。NR 比例＞30% 时仍按表 5 呈现描述性统计，并记入局限性。</w:t>
      </w:r>
    </w:p>
    <w:p>
      <w:pPr>
        <w:pStyle w:val="Heading1"/>
      </w:pPr>
      <w:r>
        <w:rPr>
          <w:rFonts w:ascii="Times New Roman" w:hAnsi="Times New Roman" w:eastAsia="黑体"/>
          <w:color w:val="000000"/>
        </w:rPr>
        <w:t>四、统计方法</w:t>
      </w:r>
    </w:p>
    <w:p>
      <w:pPr>
        <w:pStyle w:val="Heading2"/>
      </w:pPr>
      <w:r>
        <w:rPr>
          <w:rFonts w:ascii="Times New Roman" w:hAnsi="Times New Roman" w:eastAsia="黑体"/>
          <w:color w:val="000000"/>
        </w:rPr>
        <w:t>4.1 描述性统计</w:t>
      </w:r>
    </w:p>
    <w:p>
      <w:pPr>
        <w:pStyle w:val="ListBullet"/>
      </w:pPr>
      <w:r>
        <w:t>计量资料：以中位数（四分位数）表示；近似正态者另报均数±标准差。</w:t>
      </w:r>
    </w:p>
    <w:p>
      <w:pPr>
        <w:pStyle w:val="ListBullet"/>
      </w:pPr>
      <w:r>
        <w:t>计数资料：以例数（%）表示。</w:t>
      </w:r>
    </w:p>
    <w:p>
      <w:pPr>
        <w:pStyle w:val="ListBullet"/>
      </w:pPr>
      <w:r>
        <w:t>缺失值：每个变量均报告缺失例数。</w:t>
      </w:r>
    </w:p>
    <w:p>
      <w:pPr>
        <w:pStyle w:val="Heading2"/>
      </w:pPr>
      <w:r>
        <w:rPr>
          <w:rFonts w:ascii="Times New Roman" w:hAnsi="Times New Roman" w:eastAsia="黑体"/>
          <w:color w:val="000000"/>
        </w:rPr>
        <w:t>4.2 主要分析（唯一的验证性检验）</w:t>
      </w:r>
    </w:p>
    <w:p>
      <w:pPr>
        <w:pStyle w:val="ListBullet"/>
      </w:pPr>
      <w:r>
        <w:rPr>
          <w:b/>
        </w:rPr>
        <w:t>结局：</w:t>
      </w:r>
      <w:r>
        <w:t xml:space="preserve"> 异物相关穿孔（是/否）。</w:t>
      </w:r>
    </w:p>
    <w:p>
      <w:pPr>
        <w:pStyle w:val="ListBullet"/>
      </w:pPr>
      <w:r>
        <w:rPr>
          <w:b/>
        </w:rPr>
        <w:t>分析集：</w:t>
      </w:r>
      <w:r>
        <w:t xml:space="preserve"> 纳入集。</w:t>
      </w:r>
    </w:p>
    <w:p>
      <w:pPr>
        <w:pStyle w:val="ListBullet"/>
      </w:pPr>
      <w:r>
        <w:rPr>
          <w:b/>
        </w:rPr>
        <w:t>检验：</w:t>
      </w:r>
      <w:r>
        <w:t xml:space="preserve"> Cochran–Armitage 趋势检验，以连续入院时间为得分。由于逐年例数少，p 值以蒙特卡洛置换法求得（置换 100 000 次，随机种子 20260926），同时报告渐近 p 值。</w:t>
      </w:r>
    </w:p>
    <w:p>
      <w:pPr>
        <w:pStyle w:val="ListBullet"/>
      </w:pPr>
      <w:r>
        <w:rPr>
          <w:b/>
        </w:rPr>
        <w:t>效应量：</w:t>
      </w:r>
      <w:r>
        <w:t xml:space="preserve"> 以 logistic 回归（自变量为连续入院时间）的每年比值比 OR 及 95% CI 表示。上述趋势检验即此回归斜率的得分检验，两者结论一致。</w:t>
      </w:r>
    </w:p>
    <w:p>
      <w:pPr>
        <w:pStyle w:val="ListBullet"/>
      </w:pPr>
      <w:r>
        <w:rPr>
          <w:b/>
        </w:rPr>
        <w:t>检验水准：</w:t>
      </w:r>
      <w:r>
        <w:t xml:space="preserve"> 双侧 α＝0.05。</w:t>
      </w:r>
    </w:p>
    <w:p>
      <w:pPr>
        <w:pStyle w:val="Heading2"/>
      </w:pPr>
      <w:r>
        <w:rPr>
          <w:rFonts w:ascii="Times New Roman" w:hAnsi="Times New Roman" w:eastAsia="黑体"/>
          <w:color w:val="000000"/>
        </w:rPr>
        <w:t>4.3 次要分析（探索性，不校正多重比较，以效应量及 95% CI 为主）</w:t>
      </w:r>
    </w:p>
    <w:p>
      <w:r>
        <w:t xml:space="preserve">1. </w:t>
      </w:r>
      <w:r>
        <w:rPr>
          <w:b/>
        </w:rPr>
        <w:t>病因构成 × 时期：</w:t>
      </w:r>
      <w:r>
        <w:t xml:space="preserve"> 4 类病因 × 3 个时期作 Fisher–Freeman–Halton 精确检验（蒙特卡洛法），另报告各期构成比。</w:t>
      </w:r>
    </w:p>
    <w:p>
      <w:r>
        <w:t xml:space="preserve">2. </w:t>
      </w:r>
      <w:r>
        <w:rPr>
          <w:b/>
        </w:rPr>
        <w:t>多分类 logistic 回归：</w:t>
      </w:r>
      <w:r>
        <w:t xml:space="preserve"> 因变量为 4 类病因，参照类为消化性溃疡，自变量为连续入院时间，报告各类病因的每年相对危险比 RRR 及 95% CI。任一类少于 10 例或模型不收敛时，只作描述。</w:t>
      </w:r>
    </w:p>
    <w:p>
      <w:r>
        <w:t xml:space="preserve">3. </w:t>
      </w:r>
      <w:r>
        <w:rPr>
          <w:b/>
        </w:rPr>
        <w:t>相对发生率趋势：</w:t>
      </w:r>
    </w:p>
    <w:p>
      <w:r>
        <w:t xml:space="preserve">   - 以月为单位，对纳入病例数、异物相关病例数分别建立 Poisson 回归：offset 为 log（当月核心外科病区住院人次），自变量为连续入院时间，断档月份不入模型。</w:t>
      </w:r>
    </w:p>
    <w:p>
      <w:r>
        <w:t xml:space="preserve">   - 若 Pearson χ²/自由度＞1.5，改用负二项回归。</w:t>
      </w:r>
    </w:p>
    <w:p>
      <w:r>
        <w:t xml:space="preserve">   - 报告每年发生率比 IRR 及 95% CI，并报告各时期每万住院人次的发生率（精确 Poisson 95% CI）。</w:t>
      </w:r>
    </w:p>
    <w:p>
      <w:r>
        <w:t xml:space="preserve">4. </w:t>
      </w:r>
      <w:r>
        <w:rPr>
          <w:b/>
        </w:rPr>
        <w:t>异物穿孔转化率：</w:t>
      </w:r>
    </w:p>
    <w:p>
      <w:r>
        <w:t xml:space="preserve">   - 以逐月异物相关穿孔数为分子，offset 为 log（当月 T18 住院人次）；磁性异物穿孔另作一模型。</w:t>
      </w:r>
    </w:p>
    <w:p>
      <w:r>
        <w:t xml:space="preserve">   - 报告每千例异物住院的穿孔数及每年 IRR。</w:t>
      </w:r>
    </w:p>
    <w:p>
      <w:r>
        <w:t xml:space="preserve">   - 若兄弟课题可提供逐月磁性异物住院人次，则以其作为磁性异物穿孔的分母。</w:t>
      </w:r>
    </w:p>
    <w:p>
      <w:r>
        <w:t xml:space="preserve">5. </w:t>
      </w:r>
      <w:r>
        <w:rPr>
          <w:b/>
        </w:rPr>
        <w:t>年龄组 × 病因：</w:t>
      </w:r>
      <w:r>
        <w:t xml:space="preserve"> Fisher–Freeman–Halton 精确检验，并报告 Cramér's V。</w:t>
      </w:r>
    </w:p>
    <w:p>
      <w:r>
        <w:t xml:space="preserve">6. </w:t>
      </w:r>
      <w:r>
        <w:rPr>
          <w:b/>
        </w:rPr>
        <w:t>各病因的临床特征：</w:t>
      </w:r>
      <w:r>
        <w:t xml:space="preserve"> 计量资料用 Kruskal–Wallis 检验，计数资料用 Fisher 精确检验。</w:t>
      </w:r>
    </w:p>
    <w:p>
      <w:r>
        <w:t xml:space="preserve">7. </w:t>
      </w:r>
      <w:r>
        <w:rPr>
          <w:b/>
        </w:rPr>
        <w:t>治疗方式与院内结局：</w:t>
      </w:r>
      <w:r>
        <w:t xml:space="preserve"> 按病因描述穿孔部位与数目、手术入路、住院期间并发症（至少一项、各类并发症、Clavien–Dindo ≥III）、非计划再次手术、非手术再干预、首次与全量肠内进食天数、术后住院天数及 30 天再入院。院内死亡与放弃治疗合并为复合不良结局。以上事件数少，只作描述，不作组间推断（与方案一致）。</w:t>
      </w:r>
    </w:p>
    <w:p>
      <w:r>
        <w:t xml:space="preserve">8. </w:t>
      </w:r>
      <w:r>
        <w:rPr>
          <w:b/>
        </w:rPr>
        <w:t>裁定一致性：</w:t>
      </w:r>
      <w:r>
        <w:t xml:space="preserve"> 报告各字段的观察一致率与 Cohen κ（95% CI），主要报告病因大类（由 merge_adjudication.py 计算）。</w:t>
      </w:r>
    </w:p>
    <w:p>
      <w:pPr>
        <w:pStyle w:val="Heading2"/>
      </w:pPr>
      <w:r>
        <w:rPr>
          <w:rFonts w:ascii="Times New Roman" w:hAnsi="Times New Roman" w:eastAsia="黑体"/>
          <w:color w:val="000000"/>
        </w:rPr>
        <w:t>4.4 敏感性分析（预先确定）</w:t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2"/>
        <w:gridCol w:w="11448"/>
      </w:tblGrid>
      <w:tr>
        <w:trPr>
          <w:tblHeader w:val="true"/>
        </w:trPr>
        <w:tc>
          <w:tcPr>
            <w:tcW w:type="dxa" w:w="792"/>
            <w:tcBorders>
              <w:top w:val="single" w:sz="12" w:space="0" w:color="000000"/>
              <w:left w:val="nil" w:sz="4" w:space="0" w:color="000000"/>
              <w:bottom w:val="single" w:sz="6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编号</w:t>
            </w:r>
          </w:p>
        </w:tc>
        <w:tc>
          <w:tcPr>
            <w:tcW w:type="dxa" w:w="11448"/>
            <w:tcBorders>
              <w:top w:val="single" w:sz="12" w:space="0" w:color="000000"/>
              <w:left w:val="nil" w:sz="4" w:space="0" w:color="000000"/>
              <w:bottom w:val="single" w:sz="6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792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SA1</w:t>
            </w:r>
          </w:p>
        </w:tc>
        <w:tc>
          <w:tcPr>
            <w:tcW w:type="dxa" w:w="11448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在非新生儿集中重复主要分析，以排除新生儿收治量变化对构成比的影响（新生儿病例不可能为异物相关）</w:t>
            </w:r>
          </w:p>
        </w:tc>
      </w:tr>
      <w:tr>
        <w:tc>
          <w:tcPr>
            <w:tcW w:type="dxa" w:w="792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SA2</w:t>
            </w:r>
          </w:p>
        </w:tc>
        <w:tc>
          <w:tcPr>
            <w:tcW w:type="dxa" w:w="11448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在一致集中重复主要分析，检验结论是否依赖仲裁病例</w:t>
            </w:r>
          </w:p>
        </w:tc>
      </w:tr>
      <w:tr>
        <w:tc>
          <w:tcPr>
            <w:tcW w:type="dxa" w:w="792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SA3</w:t>
            </w:r>
          </w:p>
        </w:tc>
        <w:tc>
          <w:tcPr>
            <w:tcW w:type="dxa" w:w="11448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按 6 类原始分类重复病因 × 时期分析</w:t>
            </w:r>
          </w:p>
        </w:tc>
      </w:tr>
      <w:tr>
        <w:tc>
          <w:tcPr>
            <w:tcW w:type="dxa" w:w="792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SA4</w:t>
            </w:r>
          </w:p>
        </w:tc>
        <w:tc>
          <w:tcPr>
            <w:tcW w:type="dxa" w:w="11448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相对发生率分析依次改用核心＋扩展病区、急诊入院、全院住院人次作分母</w:t>
            </w:r>
          </w:p>
        </w:tc>
      </w:tr>
      <w:tr>
        <w:tc>
          <w:tcPr>
            <w:tcW w:type="dxa" w:w="792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SA5</w:t>
            </w:r>
          </w:p>
        </w:tc>
        <w:tc>
          <w:tcPr>
            <w:tcW w:type="dxa" w:w="11448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仅用断档后连续 74 个月（2020-04 至 2026-05）重复相对发生率分析</w:t>
            </w:r>
          </w:p>
        </w:tc>
      </w:tr>
      <w:tr>
        <w:tc>
          <w:tcPr>
            <w:tcW w:type="dxa" w:w="792"/>
            <w:tcBorders>
              <w:top w:val="nil" w:sz="4" w:space="0" w:color="000000"/>
              <w:left w:val="nil" w:sz="4" w:space="0" w:color="000000"/>
              <w:bottom w:val="single" w:sz="12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SA6</w:t>
            </w:r>
          </w:p>
        </w:tc>
        <w:tc>
          <w:tcPr>
            <w:tcW w:type="dxa" w:w="11448"/>
            <w:tcBorders>
              <w:top w:val="nil" w:sz="4" w:space="0" w:color="000000"/>
              <w:left w:val="nil" w:sz="4" w:space="0" w:color="000000"/>
              <w:bottom w:val="single" w:sz="12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若第 6 项编码核对后补检到遗漏病例，主要分析在补入前后各报告一次</w:t>
            </w:r>
          </w:p>
        </w:tc>
      </w:tr>
    </w:tbl>
    <w:p/>
    <w:p>
      <w:pPr>
        <w:sectPr>
          <w:pgSz w:w="15840" w:h="12240" w:orient="landscape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2"/>
      </w:pPr>
      <w:r>
        <w:rPr>
          <w:rFonts w:ascii="Times New Roman" w:hAnsi="Times New Roman" w:eastAsia="黑体"/>
          <w:color w:val="000000"/>
        </w:rPr>
        <w:t>4.5 缺失数据</w:t>
      </w:r>
    </w:p>
    <w:p>
      <w:r>
        <w:t>临床变量采用完整病例分析，不作插补。病因由裁定确定，无缺失；无法判定病因者按 E5 排除，并在流程图中报告例数。</w:t>
      </w:r>
    </w:p>
    <w:p>
      <w:pPr>
        <w:pStyle w:val="Heading2"/>
      </w:pPr>
      <w:r>
        <w:rPr>
          <w:rFonts w:ascii="Times New Roman" w:hAnsi="Times New Roman" w:eastAsia="黑体"/>
          <w:color w:val="000000"/>
        </w:rPr>
        <w:t>4.6 精度说明</w:t>
      </w:r>
    </w:p>
    <w:p>
      <w:r>
        <w:t>本研究为全样本连续纳入，不作功效计算。以纳入约 95 例、异物相关占比约 30% 估计，总体构成比 95% CI 的半宽约为 ±9 个百分点；逐年构成比估计很不稳定，因此趋势以连续时间模型推断，逐年数据只作图示。</w:t>
      </w:r>
    </w:p>
    <w:p>
      <w:pPr>
        <w:pStyle w:val="Heading2"/>
      </w:pPr>
      <w:r>
        <w:rPr>
          <w:rFonts w:ascii="Times New Roman" w:hAnsi="Times New Roman" w:eastAsia="黑体"/>
          <w:color w:val="000000"/>
        </w:rPr>
        <w:t>4.7 软件</w:t>
      </w:r>
    </w:p>
    <w:p>
      <w:r>
        <w:t>Python 3（pandas、numpy、scipy、statsmodels）。蒙特卡洛与置换检验的随机种子固定为 20260926。分析输出中记录各软件版本及输入文件的 SHA256。</w:t>
      </w:r>
    </w:p>
    <w:p>
      <w:pPr>
        <w:pStyle w:val="Heading1"/>
      </w:pPr>
      <w:r>
        <w:rPr>
          <w:rFonts w:ascii="Times New Roman" w:hAnsi="Times New Roman" w:eastAsia="黑体"/>
          <w:color w:val="000000"/>
        </w:rPr>
        <w:t>五、表图清单</w:t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41"/>
        <w:gridCol w:w="11299"/>
      </w:tblGrid>
      <w:tr>
        <w:trPr>
          <w:tblHeader w:val="true"/>
        </w:trPr>
        <w:tc>
          <w:tcPr>
            <w:tcW w:type="dxa" w:w="941"/>
            <w:tcBorders>
              <w:top w:val="single" w:sz="12" w:space="0" w:color="000000"/>
              <w:left w:val="nil" w:sz="4" w:space="0" w:color="000000"/>
              <w:bottom w:val="single" w:sz="6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编号</w:t>
            </w:r>
          </w:p>
        </w:tc>
        <w:tc>
          <w:tcPr>
            <w:tcW w:type="dxa" w:w="11299"/>
            <w:tcBorders>
              <w:top w:val="single" w:sz="12" w:space="0" w:color="000000"/>
              <w:left w:val="nil" w:sz="4" w:space="0" w:color="000000"/>
              <w:bottom w:val="single" w:sz="6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941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图 1</w:t>
            </w:r>
          </w:p>
        </w:tc>
        <w:tc>
          <w:tcPr>
            <w:tcW w:type="dxa" w:w="11299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病例筛选流程图</w:t>
            </w:r>
          </w:p>
        </w:tc>
      </w:tr>
      <w:tr>
        <w:tc>
          <w:tcPr>
            <w:tcW w:type="dxa" w:w="941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表 1</w:t>
            </w:r>
          </w:p>
        </w:tc>
        <w:tc>
          <w:tcPr>
            <w:tcW w:type="dxa" w:w="11299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纳入病例基本特征与临床表现，按总体及 4 类病因列出</w:t>
            </w:r>
          </w:p>
        </w:tc>
      </w:tr>
      <w:tr>
        <w:tc>
          <w:tcPr>
            <w:tcW w:type="dxa" w:w="941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表 2</w:t>
            </w:r>
          </w:p>
        </w:tc>
        <w:tc>
          <w:tcPr>
            <w:tcW w:type="dxa" w:w="11299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病因构成（6 类与 4 类）按时期列出</w:t>
            </w:r>
          </w:p>
        </w:tc>
      </w:tr>
      <w:tr>
        <w:tc>
          <w:tcPr>
            <w:tcW w:type="dxa" w:w="941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图 2</w:t>
            </w:r>
          </w:p>
        </w:tc>
        <w:tc>
          <w:tcPr>
            <w:tcW w:type="dxa" w:w="11299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上幅为逐年病例数按病因堆叠柱状图；下幅为每万外科住院人次的逐年相对发生率（两幅共用横轴，不用双纵轴）；不完整年度在横轴标注有效月数</w:t>
            </w:r>
          </w:p>
        </w:tc>
      </w:tr>
      <w:tr>
        <w:tc>
          <w:tcPr>
            <w:tcW w:type="dxa" w:w="941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表 3</w:t>
            </w:r>
          </w:p>
        </w:tc>
        <w:tc>
          <w:tcPr>
            <w:tcW w:type="dxa" w:w="11299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病因 × 年龄组</w:t>
            </w:r>
          </w:p>
        </w:tc>
      </w:tr>
      <w:tr>
        <w:tc>
          <w:tcPr>
            <w:tcW w:type="dxa" w:w="941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表 4</w:t>
            </w:r>
          </w:p>
        </w:tc>
        <w:tc>
          <w:tcPr>
            <w:tcW w:type="dxa" w:w="11299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趋势分析汇总：主要分析 OR/年、多分类 RRR/年、Poisson 或负二项 IRR/年、异物穿孔转化率 IRR/年</w:t>
            </w:r>
          </w:p>
        </w:tc>
      </w:tr>
      <w:tr>
        <w:tc>
          <w:tcPr>
            <w:tcW w:type="dxa" w:w="941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表 5</w:t>
            </w:r>
          </w:p>
        </w:tc>
        <w:tc>
          <w:tcPr>
            <w:tcW w:type="dxa" w:w="11299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各病因的穿孔部位、治疗方式、住院期间并发症（Clavien–Dindo）、再次手术或再干预、进食时间与院内结局（描述）</w:t>
            </w:r>
          </w:p>
        </w:tc>
      </w:tr>
      <w:tr>
        <w:tc>
          <w:tcPr>
            <w:tcW w:type="dxa" w:w="941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表5附</w:t>
            </w:r>
          </w:p>
        </w:tc>
        <w:tc>
          <w:tcPr>
            <w:tcW w:type="dxa" w:w="11299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进食时间是否转为组间比较的自动判断（依据、结果，见 3.6）</w:t>
            </w:r>
          </w:p>
        </w:tc>
      </w:tr>
      <w:tr>
        <w:tc>
          <w:tcPr>
            <w:tcW w:type="dxa" w:w="941"/>
            <w:tcBorders>
              <w:top w:val="nil" w:sz="4" w:space="0" w:color="000000"/>
              <w:left w:val="nil" w:sz="4" w:space="0" w:color="000000"/>
              <w:bottom w:val="single" w:sz="12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补充表</w:t>
            </w:r>
          </w:p>
        </w:tc>
        <w:tc>
          <w:tcPr>
            <w:tcW w:type="dxa" w:w="11299"/>
            <w:tcBorders>
              <w:top w:val="nil" w:sz="4" w:space="0" w:color="000000"/>
              <w:left w:val="nil" w:sz="4" w:space="0" w:color="000000"/>
              <w:bottom w:val="single" w:sz="12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裁定一致性 κ；敏感性分析 SA1–SA6；第 6 项编码核对结果</w:t>
            </w:r>
          </w:p>
        </w:tc>
      </w:tr>
    </w:tbl>
    <w:p/>
    <w:p>
      <w:pPr>
        <w:sectPr>
          <w:pgSz w:w="15840" w:h="12240" w:orient="landscape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1"/>
      </w:pPr>
      <w:r>
        <w:rPr>
          <w:rFonts w:ascii="Times New Roman" w:hAnsi="Times New Roman" w:eastAsia="黑体"/>
          <w:color w:val="000000"/>
        </w:rPr>
        <w:t>六、修订记录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2"/>
        <w:gridCol w:w="1786"/>
        <w:gridCol w:w="5270"/>
        <w:gridCol w:w="792"/>
      </w:tblGrid>
      <w:tr>
        <w:trPr>
          <w:tblHeader w:val="true"/>
        </w:trPr>
        <w:tc>
          <w:tcPr>
            <w:tcW w:type="dxa" w:w="792"/>
            <w:tcBorders>
              <w:top w:val="single" w:sz="12" w:space="0" w:color="000000"/>
              <w:left w:val="nil" w:sz="4" w:space="0" w:color="000000"/>
              <w:bottom w:val="single" w:sz="6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版本</w:t>
            </w:r>
          </w:p>
        </w:tc>
        <w:tc>
          <w:tcPr>
            <w:tcW w:type="dxa" w:w="1786"/>
            <w:tcBorders>
              <w:top w:val="single" w:sz="12" w:space="0" w:color="000000"/>
              <w:left w:val="nil" w:sz="4" w:space="0" w:color="000000"/>
              <w:bottom w:val="single" w:sz="6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日期</w:t>
            </w:r>
          </w:p>
        </w:tc>
        <w:tc>
          <w:tcPr>
            <w:tcW w:type="dxa" w:w="5270"/>
            <w:tcBorders>
              <w:top w:val="single" w:sz="12" w:space="0" w:color="000000"/>
              <w:left w:val="nil" w:sz="4" w:space="0" w:color="000000"/>
              <w:bottom w:val="single" w:sz="6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修改内容</w:t>
            </w:r>
          </w:p>
        </w:tc>
        <w:tc>
          <w:tcPr>
            <w:tcW w:type="dxa" w:w="792"/>
            <w:tcBorders>
              <w:top w:val="single" w:sz="12" w:space="0" w:color="000000"/>
              <w:left w:val="nil" w:sz="4" w:space="0" w:color="000000"/>
              <w:bottom w:val="single" w:sz="6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理由</w:t>
            </w:r>
          </w:p>
        </w:tc>
      </w:tr>
      <w:tr>
        <w:tc>
          <w:tcPr>
            <w:tcW w:type="dxa" w:w="792"/>
            <w:tcBorders>
              <w:top w:val="nil" w:sz="4" w:space="0" w:color="000000"/>
              <w:left w:val="nil" w:sz="4" w:space="0" w:color="000000"/>
              <w:bottom w:val="single" w:sz="12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V1.0</w:t>
            </w:r>
          </w:p>
        </w:tc>
        <w:tc>
          <w:tcPr>
            <w:tcW w:type="dxa" w:w="1786"/>
            <w:tcBorders>
              <w:top w:val="nil" w:sz="4" w:space="0" w:color="000000"/>
              <w:left w:val="nil" w:sz="4" w:space="0" w:color="000000"/>
              <w:bottom w:val="single" w:sz="12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2026-09-26</w:t>
            </w:r>
          </w:p>
        </w:tc>
        <w:tc>
          <w:tcPr>
            <w:tcW w:type="dxa" w:w="5270"/>
            <w:tcBorders>
              <w:top w:val="nil" w:sz="4" w:space="0" w:color="000000"/>
              <w:left w:val="nil" w:sz="4" w:space="0" w:color="000000"/>
              <w:bottom w:val="single" w:sz="12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初稿（含次要终点提取变量的定义）</w:t>
            </w:r>
          </w:p>
        </w:tc>
        <w:tc>
          <w:tcPr>
            <w:tcW w:type="dxa" w:w="792"/>
            <w:tcBorders>
              <w:top w:val="nil" w:sz="4" w:space="0" w:color="000000"/>
              <w:left w:val="nil" w:sz="4" w:space="0" w:color="000000"/>
              <w:bottom w:val="single" w:sz="12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2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