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Original Article (retrospective cohort study)</w:t>
      </w:r>
    </w:p>
    <w:p>
      <w:r>
        <w:rPr>
          <w:b/>
        </w:rPr>
        <w:t>Title:</w:t>
      </w:r>
      <w:r>
        <w:t xml:space="preserve"> Cause and Operative Mechanism of Early Unplanned Reoperation After Primary Ladd Procedure: A Blinded Adjudication Study of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194 · Main text 4246</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Purpose:</w:t>
      </w:r>
      <w:r>
        <w:t xml:space="preserve"> To determine the incidence, adjudicated cause, and operative mechanism of early unplanned reoperation after primary Ladd procedure, and whether cause differs by approach.</w:t>
      </w:r>
    </w:p>
    <w:p>
      <w:r>
        <w:rPr>
          <w:b/>
        </w:rPr>
        <w:t>Methods:</w:t>
      </w:r>
      <w:r>
        <w:t xml:space="preserve"> Single-center retrospective cohort of 450 children after primary Ladd operation (2012–2026); the outcome was unplanned reoperation within 42 days. Eligibility, index approach, cause, and mechanism were adjudicated in four blinded passes (κ 0.82–1.00). Cause-specific rates were compared with Holm-corrected Fisher exact tests; age stratification was post hoc.</w:t>
      </w:r>
    </w:p>
    <w:p>
      <w:r>
        <w:rPr>
          <w:b/>
        </w:rPr>
        <w:t>Results:</w:t>
      </w:r>
      <w:r>
        <w:t xml:space="preserve"> Reoperation occurred in 36/450 (8.0%), median 14.5 days. Persistent duodenal obstruction was the commonest cause (12/36, 33.3%), following 12/255 (4.7%) laparoscopic completions and no open-related operation (risk difference +4.7%, 95% CI 1.9–8.0; Holm p=0.010; odds ratio not estimable). On blinded re-review, 9 of these 12 were periduodenal adhesion and 3 a technical deficiency of the index procedure—all three neonatal and laparoscopic. Cases were bimodal by age; among neonates the risk difference was 4.2% (95% CI 1.0–8.9; 6/142 vs. 0/163). Overall rates did not differ (9.4% vs. 6.2%; risk difference +3.3%, 95% CI −2.0 to +8.2).</w:t>
      </w:r>
    </w:p>
    <w:p>
      <w:r>
        <w:rPr>
          <w:b/>
        </w:rPr>
        <w:t>Conclusion:</w:t>
      </w:r>
      <w:r>
        <w:t xml:space="preserve"> The reason for early reoperation differed by approach and age, while overall rates did not detectably differ.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 1); no a priori sample-size calculation was performed.</w:t>
      </w:r>
    </w:p>
    <w:p>
      <w:pPr>
        <w:spacing w:line="240" w:lineRule="auto"/>
        <w:jc w:val="center"/>
      </w:pPr>
      <w:r>
        <w:drawing>
          <wp:inline xmlns:a="http://schemas.openxmlformats.org/drawingml/2006/main" xmlns:pic="http://schemas.openxmlformats.org/drawingml/2006/picture">
            <wp:extent cx="5760720" cy="4440555"/>
            <wp:docPr id="1" name="Picture 1" descr="Fig. 1. Flow diagram: 499 children screened, 450 formed the primary Ladd cohort (255 laparoscopic, 53 conversion, 142 open), with unplanned-reoperation counts per arm and the outcome adjudication of 53 candidate reoperations to 36 included events." title="Fig.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rPr>
          <w:b/>
        </w:rPr>
        <w:t>Fig.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3)</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(§3.6).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§3.4.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 A large language model was used to assist with language editing and with checking the internal consistency of reported numbers; it was not used to generate data, to perform any analysis, or to draw conclusions, and the authors take full responsibility for the content (Declarations).</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034"/>
        <w:gridCol w:w="1553"/>
        <w:gridCol w:w="2690"/>
        <w:gridCol w:w="1908"/>
        <w:gridCol w:w="1056"/>
      </w:tblGrid>
      <w:tr>
        <w:trPr>
          <w:tblHeader w:val="true"/>
        </w:trPr>
        <w:tc>
          <w:tcPr>
            <w:tcW w:type="dxa" w:w="503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6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105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vertAlign w:val="superscript"/>
              </w:rPr>
              <w:t>a</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03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4).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rPr>
          <w:vertAlign w:val="superscript"/>
        </w:rPr>
        <w:t>a</w:t>
      </w:r>
      <w:r>
        <w:t xml:space="preserve"> Age is strongly right-skewed, so its SMD is computed on the log(days + 1) scale; the median and IQR are shown untransformed, in months.</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r>
              <w:rPr>
                <w:sz w:val="18"/>
                <w:vertAlign w:val="superscript"/>
              </w:rPr>
              <w:t>a</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r>
              <w:rPr>
                <w:sz w:val="18"/>
                <w:vertAlign w:val="superscript"/>
              </w:rPr>
              <w:t>b</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rPr>
          <w:vertAlign w:val="superscript"/>
        </w:rPr>
        <w:t>a</w:t>
      </w:r>
      <w:r>
        <w:t xml:space="preserve"> Coexisting malformation first identified or confirmed at reoperation: duodenal membrane 3, multiple jejunal atresia 1.</w:t>
      </w:r>
    </w:p>
    <w:p>
      <w:r>
        <w:rPr>
          <w:vertAlign w:val="superscript"/>
        </w:rPr>
        <w:t>b</w:t>
      </w:r>
      <w:r>
        <w:t xml:space="preserve">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3). This is a bounded null rather than equivalence: the risk difference was +3.3 percentage points (95% CI −2.0 to +8.2), an interval still compatible with a clinically important excess.</w:t>
      </w:r>
    </w:p>
    <w:p>
      <w:pPr>
        <w:sectPr>
          <w:pgSz w:w="12240" w:h="15840"/>
          <w:pgMar w:top="1440" w:right="1800" w:bottom="1440" w:left="1800" w:header="720" w:footer="720" w:gutter="0"/>
          <w:cols w:space="720"/>
          <w:docGrid w:linePitch="360"/>
        </w:sectPr>
      </w:pPr>
    </w:p>
    <w:p>
      <w:r>
        <w:rPr>
          <w:b/>
        </w:rPr>
        <w:t>Table 3.</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4 shows where the association actually lies.</w:t>
      </w:r>
    </w:p>
    <w:p>
      <w:r>
        <w:t>Every other analysis of the overall rate was concordant: competing-risk cumulative incidence 9.4% versus 6.2%, and the Cox, Firth, Mantel–Haenszel, planned-as-outcome and eligibility-reversion estimates all between 1.41 and 1.64, every interval including 1 (Table 3;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 2a). With 12 events we did not test this separation formally; it describes the observed distribution rather than establishing two populations.</w:t>
      </w:r>
    </w:p>
    <w:p>
      <w:pPr>
        <w:spacing w:line="240" w:lineRule="auto"/>
        <w:jc w:val="center"/>
      </w:pPr>
      <w:r>
        <w:drawing>
          <wp:inline xmlns:a="http://schemas.openxmlformats.org/drawingml/2006/main" xmlns:pic="http://schemas.openxmlformats.org/drawingml/2006/picture">
            <wp:extent cx="5760720" cy="2649931"/>
            <wp:docPr id="2" name="Picture 2" descr="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rPr>
          <w:b/>
        </w:rPr>
        <w:t>Fig.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t>Among neonates, persistent duodenal obstruction followed 6/142 (4.2%) laparoscopic completions and 0/163 (0%) open-related operations (p=0.0096; risk difference 4.2 percentage points, 95% CI 1.0–8.9; number needed to harm 24) (Table 4, Fig. 2b). The comparison held under formal competing-risk analysis, in the consensus-adjudicated subsample, and across eras (Table 4).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pPr>
        <w:sectPr>
          <w:pgSz w:w="12240" w:h="15840"/>
          <w:pgMar w:top="1440" w:right="1800" w:bottom="1440" w:left="1800" w:header="720" w:footer="720" w:gutter="0"/>
          <w:cols w:space="720"/>
          <w:docGrid w:linePitch="360"/>
        </w:sectPr>
      </w:pPr>
    </w:p>
    <w:p>
      <w:r>
        <w:rPr>
          <w:b/>
        </w:rPr>
        <w:t>Table 4.</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25"/>
        <w:gridCol w:w="3194"/>
        <w:gridCol w:w="2475"/>
        <w:gridCol w:w="1485"/>
        <w:gridCol w:w="1935"/>
        <w:gridCol w:w="1126"/>
      </w:tblGrid>
      <w:tr>
        <w:trPr>
          <w:tblHeader w:val="true"/>
        </w:trPr>
        <w:tc>
          <w:tcPr>
            <w:tcW w:type="dxa" w:w="20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1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4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4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3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112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r>
              <w:rPr>
                <w:sz w:val="18"/>
                <w:vertAlign w:val="superscript"/>
              </w:rPr>
              <w:t>a</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4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112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rPr>
          <w:vertAlign w:val="superscript"/>
        </w:rPr>
        <w:t>a</w:t>
      </w:r>
      <w:r>
        <w:t xml:space="preserve">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t>No open-related child underwent this reoperation in any age stratum, so neither a crude nor a pooled odds ratio is estimable; the Firth-penalized estimates (Table 3)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4).</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4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Declarations</w:t>
      </w:r>
    </w:p>
    <w:p>
      <w:r>
        <w:rPr>
          <w:b/>
        </w:rPr>
        <w:t>Funding.</w:t>
      </w:r>
      <w:r>
        <w:t xml:space="preserve"> This research did not receive any specific grant from funding agencies in the public, commercial, or not-for-profit sectors.</w:t>
      </w:r>
    </w:p>
    <w:p>
      <w:r>
        <w:rPr>
          <w:b/>
        </w:rPr>
        <w:t>Competing interests.</w:t>
      </w:r>
      <w:r>
        <w:t xml:space="preserve"> The authors have no relevant financial or non-financial interests to disclose.</w:t>
      </w:r>
    </w:p>
    <w:p>
      <w:r>
        <w:rPr>
          <w:b/>
        </w:rPr>
        <w:t>Ethics approval.</w:t>
      </w:r>
      <w:r>
        <w:t xml:space="preserve"> Approved by the Ethics Committee of Wuhan Children’s Hospital (Wuhan Maternal and Child Healthcare Hospital), Tongji Medical College, Huazhong University of Science &amp; Technology (approval no. 2026R018-E01). The study was performed in accordance with the ethical standards of the institutional research committee and with the 1964 Declaration of Helsinki and its later amendments.</w:t>
      </w:r>
    </w:p>
    <w:p>
      <w:r>
        <w:rPr>
          <w:b/>
        </w:rPr>
        <w:t>Consent to participate.</w:t>
      </w:r>
      <w:r>
        <w:t xml:space="preserve"> Informed consent was waived by the institutional ethics committee owing to the retrospective design and the use of de-identified records.</w:t>
      </w:r>
    </w:p>
    <w:p>
      <w:r>
        <w:rPr>
          <w:b/>
        </w:rPr>
        <w:t>Consent to publish.</w:t>
      </w:r>
      <w:r>
        <w:t xml:space="preserve"> Not applicable; no individually identifiable data are reported.</w:t>
      </w:r>
    </w:p>
    <w:p>
      <w:r>
        <w:rPr>
          <w:b/>
        </w:rPr>
        <w:t>Data availability.</w:t>
      </w:r>
      <w:r>
        <w:t xml:space="preserve"> 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Authors’ contributions.</w:t>
      </w:r>
      <w:r>
        <w:t xml:space="preserve"> </w:t>
      </w:r>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Use of generative AI.</w:t>
      </w:r>
      <w:r>
        <w:t xml:space="preserve"> 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1. Nehra D, Goldstein AM (2011) Intestinal malrotation: varied clinical presentation from infancy through adulthood. Surgery 149:386–393. https://doi.org/10.1016/j.surg.2010.07.004</w:t>
      </w:r>
    </w:p>
    <w:p>
      <w:r>
        <w:t>2. Catania VD, Lauriti G, Pierro A, Zani A (2016) Open versus laparoscopic approach for intestinal malrotation in infants and children: a systematic review and meta-analysis. Pediatr Surg Int 32:1157–1164. https://doi.org/10.1007/s00383-016-3974-2</w:t>
      </w:r>
    </w:p>
    <w:p>
      <w:r>
        <w:t>3. Lang Y, Chen Q, Wu M, Chen G, Liu W, Yuan C (2026) Laparoscopic vs open Ladd’s procedure for intestinal malrotation in infants and children: a systematic review and meta-analysis. Surg Innov 15533506261460156. https://doi.org/10.1177/15533506261460156</w:t>
      </w:r>
    </w:p>
    <w:p>
      <w:r>
        <w:t>4. Zhang Z, Chen Y, Yan J (2022) Laparoscopic versus open Ladd’s procedure for intestinal malrotation in infants and children: a systematic review and meta-analysis. J Laparoendosc Adv Surg Tech A 32:204–212. https://doi.org/10.1089/lap.2021.0436</w:t>
      </w:r>
    </w:p>
    <w:p>
      <w:r>
        <w:t>5. Johnston WR, Hwang R, Mattei P (2024) Laparoscopic versus open Ladd procedure for midgut malrotation. J Pediatr Surg 59:161673. https://doi.org/10.1016/j.jpedsurg.2024.08.013</w:t>
      </w:r>
    </w:p>
    <w:p>
      <w:r>
        <w:t>6. Duy HP, Manh HV, Tran NX, Yoshimura S, Okata Y (2025) Risk factors for postoperative volvulus and its laparoscopic management following laparoscopic Ladd’s procedure in pediatric patients with intestinal malrotation: a single-center, retrospective cohort study. J Pediatr Surg 60:162356. https://doi.org/10.1016/j.jpedsurg.2025.162356</w:t>
      </w:r>
    </w:p>
    <w:p>
      <w:r>
        <w:t>7. Arnaud AP, Suply E, Eaton S, Blackburn SC, Giuliani S, Curry JI, et al (2019) Laparoscopic Ladd’s procedure for malrotation in infants and children is still a controversial approach. J Pediatr Surg 54:1843–1847. https://doi.org/10.1016/j.jpedsurg.2018.09.023</w:t>
      </w:r>
    </w:p>
    <w:p>
      <w:r>
        <w:t>8. El-Gohary Y, Alagtal M, Gillick J (2010) Long-term complications following operative intervention for intestinal malrotation: a 10-year review. Pediatr Surg Int 26:203–206. https://doi.org/10.1007/s00383-009-2483-y</w:t>
      </w:r>
    </w:p>
    <w:p>
      <w:r>
        <w:t>9. Salehi Karlslätt K, Husberg B, Ullberg U, Nordenskjöld A, Wester T (2024) Intestinal malrotation in children: clinical presentation and outcomes. Eur J Pediatr Surg 34:228–235. https://doi.org/10.1055/s-0043-1764239</w:t>
      </w:r>
    </w:p>
    <w:p>
      <w:r>
        <w:t>10. Eksarko P, Nazir S, Kessler E, LeBlanc P, Zeidman M, Asarian AP, et al (2013) Duodenal web associated with malrotation and review of literature. J Surg Case Rep 2013:rjt110. https://doi.org/10.1093/jscr/rjt110</w:t>
      </w:r>
    </w:p>
    <w:p>
      <w:r>
        <w:t>11. Gomaa IA, Mirande MD, Armenia SJ, Aboelmaaty S, Dozois EJ, Perry WRG (2024) Intestinal malrotation in the adult population: diagnosis, management, and outcomes after laparoscopic Ladd procedure. J Gastrointest Surg 28:1339–1343. https://doi.org/10.1016/j.gassur.2024.05.024</w:t>
      </w:r>
    </w:p>
    <w:p>
      <w:r>
        <w:t>12. Xie W, Li Z, Wang Q, Wang L, Pan Y, Lu C (2022) Laparoscopic vs open Ladd’s procedure for malrotation in neonates and infants: a propensity score matching analysis. BMC Surg 22:25. https://doi.org/10.1186/s12893-022-01487-1</w:t>
      </w:r>
    </w:p>
    <w:p>
      <w:r>
        <w:t>13. Skertich NJ, Ingram MC, Grunvald M, Ritz E, Pillai S, Madonna MB, et al (2021) Outcomes of laparoscopic versus open Ladd procedures and risk factors for conversion. J Laparoendosc Adv Surg Tech A 31:336–342. https://doi.org/10.1089/lap.2020.0712</w:t>
      </w:r>
    </w:p>
    <w:p>
      <w:r>
        <w:t>14. Zeng X, Lian N, Wang X, Du D (2025) Abnormal anatomical landmarks: the guide points of laparoscopic Ladd’s surgery for neonatal congenital intestinal malrotation. Surg Endosc 39:4386–4391. https://doi.org/10.1007/s00464-025-11764-8</w:t>
      </w:r>
    </w:p>
    <w:p>
      <w:r>
        <w:t>15.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
        <w:t>16. Byrt T, Bishop J, Carlin JB (1993) Bias, prevalence and kappa. J Clin Epidemiol 46:423–429. https://doi.org/10.1016/0895-4356(93)90018-V</w:t>
      </w:r>
    </w:p>
    <w:p>
      <w:r>
        <w:t>17. Newcombe RG (1998) Interval estimation for the difference between independent proportions: comparison of eleven methods. Stat Med 17:873–890. https://doi.org/10.1002/(SICI)1097-0258(19980430)17:8&lt;873::AID-SIM779&gt;3.0.CO;2-I</w:t>
      </w:r>
    </w:p>
    <w:p>
      <w:r>
        <w:t>18. Holm S (1979) A simple sequentially rejective multiple test procedure. Scand J Stat 6:65–70.</w:t>
      </w:r>
    </w:p>
    <w:p>
      <w:r>
        <w:t>19. Aalen OO, Johansen S (1978) An empirical transition matrix for non-homogeneous Markov chains based on censored observations. Scand J Stat 5:141–150.</w:t>
      </w:r>
    </w:p>
    <w:p>
      <w:r>
        <w:t>20. Firth D (1993) Bias reduction of maximum likelihood estimates. Biometrika 80:27–38. https://doi.org/10.1093/biomet/80.1.27</w:t>
      </w:r>
    </w:p>
    <w:p>
      <w:r>
        <w:t>21. VanderWeele TJ, Ding P (2017) Sensitivity analysis in observational research: introducing the E-value. Ann Intern Med 167:268–274. https://doi.org/10.7326/M16-2607</w:t>
      </w:r>
    </w:p>
    <w:p>
      <w:r>
        <w:t>22. Bass KD, Rothenberg SS, Chang JH (1998) Laparoscopic Ladd’s procedure in infants with malrotation. J Pediatr Surg 33:279–281. https://doi.org/10.1016/S0022-3468(98)90447-X</w:t>
      </w:r>
    </w:p>
    <w:p>
      <w:r>
        <w:t>23. da Costa KM, Saxena AK (2021) Laparoscopic Ladd procedure for malrotation in newborns and infants. Am Surg 87:253–258. https://doi.org/10.1177/0003134820951424</w:t>
      </w:r>
    </w:p>
    <w:p>
      <w:r>
        <w:t>24. Takamoto N, Aso S, Konishi T, Fujiogi M, Kutsukake M, Yanagida Y, et al (2026) Effect of adhesion barrier use during Ladd procedure for intestinal malrotation on postoperative midgut volvulus and postoperative small-bowel obstruction: a retrospective cohort study using a national inpatient database. J Am Coll Surg 242:1279–1288. https://doi.org/10.1097/XCS.0000000000001693</w:t>
      </w:r>
    </w:p>
    <w:p>
      <w:r>
        <w:t>25. Austin PC (2009) Balance diagnostics for comparing the distribution of baseline covariates between treatment groups in propensity-score matched samples. Stat Med 28:3083–3107. https://doi.org/10.1002/sim.3697</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