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color w:val="000000"/>
        </w:rPr>
        <w:t>原始数据分析记录</w:t>
      </w:r>
    </w:p>
    <w:p>
      <w:r>
        <w:rPr>
          <w:b/>
        </w:rPr>
        <w:t>论文题目：</w:t>
      </w:r>
      <w:r>
        <w:t xml:space="preserve"> 肠旋转不良患儿首次 Ladd 术后早期非计划再手术的病因与手术机制——450 例盲法裁定队列研究</w:t>
      </w:r>
    </w:p>
    <w:p>
      <w:r>
        <w:t>（投稿英文题名：</w:t>
      </w:r>
      <w:r>
        <w:rPr>
          <w:i/>
        </w:rPr>
        <w:t>Cause and Operative Mechanism of Early Unplanned Reoperation After Primary Ladd Procedure: A Blinded Adjudication Study of 450 Children</w:t>
      </w:r>
      <w:r>
        <w:t>）</w:t>
      </w:r>
    </w:p>
    <w:p>
      <w:r>
        <w:rPr>
          <w:b/>
        </w:rPr>
        <w:t>分析单位：</w:t>
      </w:r>
      <w:r>
        <w:t xml:space="preserve"> 武汉儿童医院普通外科</w:t>
      </w:r>
    </w:p>
    <w:p>
      <w:r>
        <w:rPr>
          <w:b/>
        </w:rPr>
        <w:t>数据时间跨度：</w:t>
      </w:r>
      <w:r>
        <w:t xml:space="preserve"> 2012 年 12 月至 2026 年 6 月</w:t>
      </w:r>
    </w:p>
    <w:p>
      <w:r>
        <w:rPr>
          <w:b/>
        </w:rPr>
        <w:t>记录整理日期：</w:t>
      </w:r>
      <w:r>
        <w:t xml:space="preserve"> 2026-09-20</w:t>
      </w:r>
    </w:p>
    <w:p>
      <w:r>
        <w:rPr>
          <w:b/>
        </w:rPr>
        <w:t>分析软件：</w:t>
      </w:r>
      <w:r>
        <w:t xml:space="preserve"> Python 3.13（NumPy 2.5、SciPy 1.18、pandas 2.3、lifelines 0.30、openpyxl）</w:t>
      </w:r>
    </w:p>
    <w:p>
      <w:pPr>
        <w:pStyle w:val="Heading1"/>
      </w:pPr>
      <w:r>
        <w:rPr>
          <w:rFonts w:ascii="Times New Roman" w:hAnsi="Times New Roman"/>
          <w:color w:val="000000"/>
        </w:rPr>
        <w:t>一、数据来源与研究对象</w:t>
      </w:r>
    </w:p>
    <w:p>
      <w:pPr>
        <w:pStyle w:val="Heading2"/>
      </w:pPr>
      <w:r>
        <w:rPr>
          <w:rFonts w:ascii="Times New Roman" w:hAnsi="Times New Roman"/>
          <w:color w:val="000000"/>
        </w:rPr>
        <w:t>1.1 原始数据</w:t>
      </w:r>
    </w:p>
    <w:p>
      <w:r>
        <w:t>原始数据为本院肠旋转不良患儿数据库导出的电子病历结构化记录（</w:t>
      </w:r>
      <w:r>
        <w:rPr>
          <w:rFonts w:ascii="Consolas" w:hAnsi="Consolas"/>
          <w:sz w:val="20"/>
        </w:rPr>
        <w:t>全部肠旋转不良数据.xlsx</w:t>
      </w:r>
      <w:r>
        <w:t>），</w:t>
      </w:r>
    </w:p>
    <w:p>
      <w:r>
        <w:t>字段包括住院号、手术日期、手术方式、手术记录文本、出院/病理诊断文本、随访转归等。</w:t>
      </w:r>
    </w:p>
    <w:p>
      <w:r>
        <w:t>数据库共含有手术记录的患儿 499 例。</w:t>
      </w:r>
    </w:p>
    <w:p>
      <w:r>
        <w:t>因原始数据含患儿姓名、住院号等可识别信息，</w:t>
      </w:r>
      <w:r>
        <w:rPr>
          <w:b/>
        </w:rPr>
        <w:t>不外传、不进入任何外部系统</w:t>
      </w:r>
      <w:r>
        <w:t>，</w:t>
      </w:r>
    </w:p>
    <w:p>
      <w:r>
        <w:t>本记录只呈现脱敏后的汇总统计结果。</w:t>
      </w:r>
    </w:p>
    <w:p>
      <w:pPr>
        <w:pStyle w:val="Heading2"/>
      </w:pPr>
      <w:r>
        <w:rPr>
          <w:rFonts w:ascii="Times New Roman" w:hAnsi="Times New Roman"/>
          <w:color w:val="000000"/>
        </w:rPr>
        <w:t>1.2 队列纳入流程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37"/>
        <w:gridCol w:w="10211"/>
        <w:gridCol w:w="792"/>
      </w:tblGrid>
      <w:tr>
        <w:trPr>
          <w:tblHeader w:val="true"/>
        </w:trPr>
        <w:tc>
          <w:tcPr>
            <w:tcW w:type="dxa" w:w="1237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步骤</w:t>
            </w:r>
          </w:p>
        </w:tc>
        <w:tc>
          <w:tcPr>
            <w:tcW w:type="dxa" w:w="10211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处理</w:t>
            </w:r>
          </w:p>
        </w:tc>
        <w:tc>
          <w:tcPr>
            <w:tcW w:type="dxa" w:w="792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剩余人数</w:t>
            </w:r>
          </w:p>
        </w:tc>
      </w:tr>
      <w:tr>
        <w:tc>
          <w:tcPr>
            <w:tcW w:type="dxa" w:w="1237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起点</w:t>
            </w:r>
          </w:p>
        </w:tc>
        <w:tc>
          <w:tcPr>
            <w:tcW w:type="dxa" w:w="10211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数据库中含手术记录者</w:t>
            </w:r>
          </w:p>
        </w:tc>
        <w:tc>
          <w:tcPr>
            <w:tcW w:type="dxa" w:w="792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499</w:t>
            </w:r>
          </w:p>
        </w:tc>
      </w:tr>
      <w:tr>
        <w:tc>
          <w:tcPr>
            <w:tcW w:type="dxa" w:w="1237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关键词初筛</w:t>
            </w:r>
          </w:p>
        </w:tc>
        <w:tc>
          <w:tcPr>
            <w:tcW w:type="dxa" w:w="10211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按术式名称/编码诊断检索"拉德/Ladd、扭转复位、肠旋转、中肠、旋转不良"5 个中文关键词，排除首次手术记录与全部关键词均不匹配者（多为膈疝修补、其他肠闭锁、阑尾切除等）</w:t>
            </w:r>
          </w:p>
        </w:tc>
        <w:tc>
          <w:tcPr>
            <w:tcW w:type="dxa" w:w="792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468</w:t>
            </w:r>
          </w:p>
        </w:tc>
      </w:tr>
      <w:tr>
        <w:tc>
          <w:tcPr>
            <w:tcW w:type="dxa" w:w="1237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第四轮盲法资格裁定</w:t>
            </w:r>
          </w:p>
        </w:tc>
        <w:tc>
          <w:tcPr>
            <w:tcW w:type="dxa" w:w="10211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对 19 例首次手术记录存疑者（诊断性内镜/活检，或编码诊断提示既往手术史）逐例双人独立盲法裁定是否为原发 Ladd 手术；另对 3 例同次住院内先行其他术式者，将首次手术日期订正为真正的原发 Ladd 手术</w:t>
            </w:r>
          </w:p>
        </w:tc>
        <w:tc>
          <w:tcPr>
            <w:tcW w:type="dxa" w:w="792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450</w:t>
            </w:r>
          </w:p>
        </w:tc>
      </w:tr>
    </w:tbl>
    <w:p/>
    <w:p>
      <w:pPr>
        <w:sectPr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 xml:space="preserve">最终队列 </w:t>
      </w:r>
      <w:r>
        <w:rPr>
          <w:b/>
        </w:rPr>
        <w:t>450 例</w:t>
      </w:r>
      <w:r>
        <w:t>，其中腹腔镜完成 255 例、中转开腹 53 例、开腹 142 例</w:t>
      </w:r>
    </w:p>
    <w:p>
      <w:r>
        <w:t>（"开腹相关"= 中转开腹 + 开腹 = 195 例）。</w:t>
      </w:r>
    </w:p>
    <w:p>
      <w:pPr>
        <w:pStyle w:val="Heading2"/>
      </w:pPr>
      <w:r>
        <w:rPr>
          <w:rFonts w:ascii="Times New Roman" w:hAnsi="Times New Roman"/>
          <w:color w:val="000000"/>
        </w:rPr>
        <w:t>1.3 结局定义</w:t>
      </w:r>
    </w:p>
    <w:p>
      <w:r>
        <w:t xml:space="preserve">主要结局：原发 Ladd 手术后 </w:t>
      </w:r>
      <w:r>
        <w:rPr>
          <w:b/>
        </w:rPr>
        <w:t>42 天内的首次非计划再手术</w:t>
      </w:r>
      <w:r>
        <w:t>。计划性分期手术</w:t>
      </w:r>
    </w:p>
    <w:p>
      <w:r>
        <w:t>（如造口关闭、计划性二探）不计入。再手术病例名单一律来自双评者独立盲法裁定表</w:t>
      </w:r>
    </w:p>
    <w:p>
      <w:r>
        <w:t>（</w:t>
      </w:r>
      <w:r>
        <w:rPr>
          <w:rFonts w:ascii="Consolas" w:hAnsi="Consolas"/>
          <w:sz w:val="20"/>
        </w:rPr>
        <w:t>裁定表.xlsx</w:t>
      </w:r>
      <w:r>
        <w:t>），而非算法初筛结果——算法初筛得到候选 39 例，其中 19 例是</w:t>
      </w:r>
    </w:p>
    <w:p>
      <w:r>
        <w:t>初筛漏判、经裁定后补入，2 例初筛误纳（1 例属计划性手术、1 例不在队列内）经</w:t>
      </w:r>
    </w:p>
    <w:p>
      <w:r>
        <w:t>裁定后剔除。</w:t>
      </w:r>
    </w:p>
    <w:p>
      <w:r>
        <w:t>竞争事件：同一 42 天窗口内的确诊死亡。24 例自动出院患儿全部电话随访确认转归</w:t>
      </w:r>
    </w:p>
    <w:p>
      <w:r>
        <w:t>（18 例确诊死亡、4 例确认未再手术、2 例失访，按出院时点删失）。</w:t>
      </w:r>
    </w:p>
    <w:p>
      <w:pPr>
        <w:pStyle w:val="Heading1"/>
      </w:pPr>
      <w:r>
        <w:rPr>
          <w:rFonts w:ascii="Times New Roman" w:hAnsi="Times New Roman"/>
          <w:color w:val="000000"/>
        </w:rPr>
        <w:t>二、变量定义与分组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88"/>
        <w:gridCol w:w="9952"/>
      </w:tblGrid>
      <w:tr>
        <w:trPr>
          <w:tblHeader w:val="true"/>
        </w:trPr>
        <w:tc>
          <w:tcPr>
            <w:tcW w:type="dxa" w:w="2288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变量</w:t>
            </w:r>
          </w:p>
        </w:tc>
        <w:tc>
          <w:tcPr>
            <w:tcW w:type="dxa" w:w="9952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定义</w:t>
            </w:r>
          </w:p>
        </w:tc>
      </w:tr>
      <w:tr>
        <w:tc>
          <w:tcPr>
            <w:tcW w:type="dxa" w:w="2288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暴露（首次手术入路）</w:t>
            </w:r>
          </w:p>
        </w:tc>
        <w:tc>
          <w:tcPr>
            <w:tcW w:type="dxa" w:w="9952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腹腔镜完成 / 中转开腹 / 开腹，由术式名称+手术记录文本关键词规则判定，并以 132 例的双评者盲法共识验证（一致率 118/132，κ=0.82）</w:t>
            </w:r>
          </w:p>
        </w:tc>
      </w:tr>
      <w:tr>
        <w:tc>
          <w:tcPr>
            <w:tcW w:type="dxa" w:w="2288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再手术病因（六分类，单选）</w:t>
            </w:r>
          </w:p>
        </w:tc>
        <w:tc>
          <w:tcPr>
            <w:tcW w:type="dxa" w:w="9952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①持续性十二指肠梗阻（无肠道内在畸形）②肠坏死/穿孔/吻合口并发症 ③非十二指肠段粘连性肠梗阻 ④合并畸形漏诊（再手术才证实）⑤肠扭转复发 ⑥其他</w:t>
            </w:r>
          </w:p>
        </w:tc>
      </w:tr>
      <w:tr>
        <w:tc>
          <w:tcPr>
            <w:tcW w:type="dxa" w:w="2288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十二指肠梗阻的手术机制（二分类）</w:t>
            </w:r>
          </w:p>
        </w:tc>
        <w:tc>
          <w:tcPr>
            <w:tcW w:type="dxa" w:w="9952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技术缺陷（首次手术遗留未处理的解剖学问题）/ 术后粘连（首次手术已按操作规范完成，再手术所见为术后新发粘连）</w:t>
            </w:r>
          </w:p>
        </w:tc>
      </w:tr>
      <w:tr>
        <w:tc>
          <w:tcPr>
            <w:tcW w:type="dxa" w:w="2288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年龄分层</w:t>
            </w:r>
          </w:p>
        </w:tc>
        <w:tc>
          <w:tcPr>
            <w:tcW w:type="dxa" w:w="9952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新生儿（&lt;28 天）/ 28 天–1 岁 / ≥1 岁</w:t>
            </w:r>
          </w:p>
        </w:tc>
      </w:tr>
      <w:tr>
        <w:tc>
          <w:tcPr>
            <w:tcW w:type="dxa" w:w="2288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首次手术坏死</w:t>
            </w:r>
          </w:p>
        </w:tc>
        <w:tc>
          <w:tcPr>
            <w:tcW w:type="dxa" w:w="9952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首次手术是否记录肠坏死</w:t>
            </w:r>
          </w:p>
        </w:tc>
      </w:tr>
    </w:tbl>
    <w:p/>
    <w:p>
      <w:pPr>
        <w:sectPr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病因与机制均由两名评审者在</w:t>
      </w:r>
      <w:r>
        <w:rPr>
          <w:b/>
        </w:rPr>
        <w:t>遮蔽手术入路等可能提示分组的措辞</w:t>
      </w:r>
      <w:r>
        <w:t>后独立判定，</w:t>
      </w:r>
    </w:p>
    <w:p>
      <w:r>
        <w:t>不一致时由第三方仲裁；一致性统计详见第五节。</w:t>
      </w:r>
    </w:p>
    <w:p>
      <w:pPr>
        <w:pStyle w:val="Heading1"/>
      </w:pPr>
      <w:r>
        <w:rPr>
          <w:rFonts w:ascii="Times New Roman" w:hAnsi="Times New Roman"/>
          <w:color w:val="000000"/>
        </w:rPr>
        <w:t>三、统计分析方法（简要）</w:t>
      </w:r>
    </w:p>
    <w:p>
      <w:pPr>
        <w:pStyle w:val="ListBullet"/>
      </w:pPr>
      <w:r>
        <w:t>率与率差：Fisher 精确检验；比例用 Wilson 区间，比值比用条件精确（Cornfield）区间，</w:t>
      </w:r>
    </w:p>
    <w:p>
      <w:r>
        <w:t xml:space="preserve">  率差用 Newcombe 区间</w:t>
      </w:r>
    </w:p>
    <w:p>
      <w:pPr>
        <w:pStyle w:val="ListBullet"/>
      </w:pPr>
      <w:r>
        <w:t>多重比较校正：Holm 逐步法，分别用于六类病因间比较、三个年龄层间比较</w:t>
      </w:r>
    </w:p>
    <w:p>
      <w:pPr>
        <w:pStyle w:val="ListBullet"/>
      </w:pPr>
      <w:r>
        <w:t>竞争风险：Aalen-Johansen 法估计累积发生率（以死亡为竞争事件），</w:t>
      </w:r>
    </w:p>
    <w:p>
      <w:r>
        <w:t xml:space="preserve">  因存在死亡这一竞争事件，未采用会高估发生率的朴素 Kaplan-Meier 法</w:t>
      </w:r>
    </w:p>
    <w:p>
      <w:pPr>
        <w:pStyle w:val="ListBullet"/>
      </w:pPr>
      <w:r>
        <w:t>病因特异 Cox 回归：以竞争事件删失</w:t>
      </w:r>
    </w:p>
    <w:p>
      <w:pPr>
        <w:pStyle w:val="ListBullet"/>
      </w:pPr>
      <w:r>
        <w:t>稀疏数据的偏倚校正：Firth 惩罚似然回归（用于十二指肠梗阻这一零单元比较）</w:t>
      </w:r>
    </w:p>
    <w:p>
      <w:pPr>
        <w:pStyle w:val="ListBullet"/>
      </w:pPr>
      <w:r>
        <w:t>敏感性分析：意向性分组（中转并入腹腔镜组）、剔除第四轮裁定排除病例、</w:t>
      </w:r>
    </w:p>
    <w:p>
      <w:r>
        <w:t xml:space="preserve">  按手术年代分层、共识裁定亚样本重复分析等，详见第五节第 4 条</w:t>
      </w:r>
    </w:p>
    <w:p>
      <w:pPr>
        <w:pStyle w:val="ListBullet"/>
      </w:pPr>
      <w:r>
        <w:t>效应量稳健性：E-value 敏感性分析</w:t>
      </w:r>
    </w:p>
    <w:p>
      <w:pPr>
        <w:pStyle w:val="Heading1"/>
      </w:pPr>
      <w:r>
        <w:rPr>
          <w:rFonts w:ascii="Times New Roman" w:hAnsi="Times New Roman"/>
          <w:color w:val="000000"/>
        </w:rPr>
        <w:t>四、核心数据分析结果</w:t>
      </w:r>
    </w:p>
    <w:p>
      <w:pPr>
        <w:pStyle w:val="Heading2"/>
      </w:pPr>
      <w:r>
        <w:rPr>
          <w:rFonts w:ascii="Times New Roman" w:hAnsi="Times New Roman"/>
          <w:color w:val="000000"/>
        </w:rPr>
        <w:t>4.1 全队列基本特征（对应正文 Table 1）</w:t>
      </w:r>
    </w:p>
    <w:p>
      <w:r>
        <w:t>450 例中男 344 例（76.4%），性别在两组间均衡（SMD +0.02）。开腹相关组</w:t>
      </w:r>
    </w:p>
    <w:p>
      <w:r>
        <w:t>在</w:t>
      </w:r>
      <w:r>
        <w:rPr>
          <w:b/>
        </w:rPr>
        <w:t>病情严重度</w:t>
      </w:r>
      <w:r>
        <w:t>（首次手术坏死 25.1% vs 2.4%）和</w:t>
      </w:r>
      <w:r>
        <w:rPr>
          <w:b/>
        </w:rPr>
        <w:t>年龄</w:t>
      </w:r>
      <w:r>
        <w:t>（新生儿占比 83.6% vs</w:t>
      </w:r>
    </w:p>
    <w:p>
      <w:r>
        <w:t>55.7%）两个轴上均与腹腔镜组不同——这是本研究把病因比较按年龄分层的直接原因。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89"/>
        <w:gridCol w:w="2213"/>
        <w:gridCol w:w="2425"/>
        <w:gridCol w:w="2213"/>
      </w:tblGrid>
      <w:tr>
        <w:trPr>
          <w:tblHeader w:val="true"/>
        </w:trPr>
        <w:tc>
          <w:tcPr>
            <w:tcW w:type="dxa" w:w="1789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特征</w:t>
            </w:r>
          </w:p>
        </w:tc>
        <w:tc>
          <w:tcPr>
            <w:tcW w:type="dxa" w:w="2213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全队列(n=450)</w:t>
            </w:r>
          </w:p>
        </w:tc>
        <w:tc>
          <w:tcPr>
            <w:tcW w:type="dxa" w:w="2425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腹腔镜完成(n=255)</w:t>
            </w:r>
          </w:p>
        </w:tc>
        <w:tc>
          <w:tcPr>
            <w:tcW w:type="dxa" w:w="2213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开腹相关(n=195)</w:t>
            </w:r>
          </w:p>
        </w:tc>
      </w:tr>
      <w:tr>
        <w:tc>
          <w:tcPr>
            <w:tcW w:type="dxa" w:w="1789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男性</w:t>
            </w:r>
          </w:p>
        </w:tc>
        <w:tc>
          <w:tcPr>
            <w:tcW w:type="dxa" w:w="2213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344 (76.4%)</w:t>
            </w:r>
          </w:p>
        </w:tc>
        <w:tc>
          <w:tcPr>
            <w:tcW w:type="dxa" w:w="2425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196 (76.9%)</w:t>
            </w:r>
          </w:p>
        </w:tc>
        <w:tc>
          <w:tcPr>
            <w:tcW w:type="dxa" w:w="2213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148 (75.9%)</w:t>
            </w:r>
          </w:p>
        </w:tc>
      </w:tr>
      <w:tr>
        <w:tc>
          <w:tcPr>
            <w:tcW w:type="dxa" w:w="1789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新生儿(&lt;28天)</w:t>
            </w:r>
          </w:p>
        </w:tc>
        <w:tc>
          <w:tcPr>
            <w:tcW w:type="dxa" w:w="2213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305 (67.8%)</w:t>
            </w:r>
          </w:p>
        </w:tc>
        <w:tc>
          <w:tcPr>
            <w:tcW w:type="dxa" w:w="2425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142 (55.7%)</w:t>
            </w:r>
          </w:p>
        </w:tc>
        <w:tc>
          <w:tcPr>
            <w:tcW w:type="dxa" w:w="2213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163 (83.6%)</w:t>
            </w:r>
          </w:p>
        </w:tc>
      </w:tr>
      <w:tr>
        <w:tc>
          <w:tcPr>
            <w:tcW w:type="dxa" w:w="1789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首次手术肠坏死</w:t>
            </w:r>
          </w:p>
        </w:tc>
        <w:tc>
          <w:tcPr>
            <w:tcW w:type="dxa" w:w="2213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55 (12.2%)</w:t>
            </w:r>
          </w:p>
        </w:tc>
        <w:tc>
          <w:tcPr>
            <w:tcW w:type="dxa" w:w="2425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6 (2.4%)</w:t>
            </w:r>
          </w:p>
        </w:tc>
        <w:tc>
          <w:tcPr>
            <w:tcW w:type="dxa" w:w="2213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49 (25.1%)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4.2 再手术发生率与时间分布（对应正文 §3.2）</w:t>
      </w:r>
    </w:p>
    <w:p>
      <w:pPr>
        <w:pStyle w:val="ListBullet"/>
      </w:pPr>
      <w:r>
        <w:t xml:space="preserve">42 天内非计划再手术 </w:t>
      </w:r>
      <w:r>
        <w:rPr>
          <w:b/>
        </w:rPr>
        <w:t>36/450（8.0%，95% CI 5.8–10.9）</w:t>
      </w:r>
    </w:p>
    <w:p>
      <w:pPr>
        <w:pStyle w:val="ListBullet"/>
      </w:pPr>
      <w:r>
        <w:t xml:space="preserve">中位再手术时间 </w:t>
      </w:r>
      <w:r>
        <w:rPr>
          <w:b/>
        </w:rPr>
        <w:t>14.5 天</w:t>
      </w:r>
      <w:r>
        <w:t>（IQR 10–19），67%（24/36）发生在术后第 8–21 天</w:t>
      </w:r>
    </w:p>
    <w:p>
      <w:pPr>
        <w:pStyle w:val="Heading2"/>
      </w:pPr>
      <w:r>
        <w:rPr>
          <w:rFonts w:ascii="Times New Roman" w:hAnsi="Times New Roman"/>
          <w:color w:val="000000"/>
        </w:rPr>
        <w:t>4.3 再手术病因构成（对应正文 §3.3、Table 2）</w:t>
      </w:r>
    </w:p>
    <w:p>
      <w:r>
        <w:rPr>
          <w:b/>
        </w:rPr>
        <w:t>持续性十二指肠梗阻是最常见病因：12/36（33.3%）</w:t>
      </w:r>
      <w:r>
        <w:t>，其次为肠坏死/穿孔/吻合口</w:t>
      </w:r>
    </w:p>
    <w:p>
      <w:r>
        <w:t>并发症（8/36）、非十二指肠粘连性肠梗阻（5/36）、其他（5/36）、合并畸形漏诊</w:t>
      </w:r>
    </w:p>
    <w:p>
      <w:r>
        <w:t>（4/36）、肠扭转复发（2/36）。</w:t>
      </w:r>
    </w:p>
    <w:p>
      <w:pPr>
        <w:pStyle w:val="Heading2"/>
      </w:pPr>
      <w:r>
        <w:rPr>
          <w:rFonts w:ascii="Times New Roman" w:hAnsi="Times New Roman"/>
          <w:color w:val="000000"/>
        </w:rPr>
        <w:t>4.4 总体再手术率：两种术式无统计学差异（对应正文 §3.4，核心阴性结果）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2"/>
        <w:gridCol w:w="7678"/>
      </w:tblGrid>
      <w:tr>
        <w:trPr>
          <w:tblHeader w:val="true"/>
        </w:trPr>
        <w:tc>
          <w:tcPr>
            <w:tcW w:type="dxa" w:w="962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比较</w:t>
            </w:r>
          </w:p>
        </w:tc>
        <w:tc>
          <w:tcPr>
            <w:tcW w:type="dxa" w:w="7678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962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腹腔镜完成</w:t>
            </w:r>
          </w:p>
        </w:tc>
        <w:tc>
          <w:tcPr>
            <w:tcW w:type="dxa" w:w="7678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24/255（9.4%，95% CI 6.4–13.6）</w:t>
            </w:r>
          </w:p>
        </w:tc>
      </w:tr>
      <w:tr>
        <w:tc>
          <w:tcPr>
            <w:tcW w:type="dxa" w:w="962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开腹相关</w:t>
            </w:r>
          </w:p>
        </w:tc>
        <w:tc>
          <w:tcPr>
            <w:tcW w:type="dxa" w:w="7678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12/195（6.2%）</w:t>
            </w:r>
          </w:p>
        </w:tc>
      </w:tr>
      <w:tr>
        <w:tc>
          <w:tcPr>
            <w:tcW w:type="dxa" w:w="962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比值比</w:t>
            </w:r>
          </w:p>
        </w:tc>
        <w:tc>
          <w:tcPr>
            <w:tcW w:type="dxa" w:w="7678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OR 1.58，精确 95% CI 0.74–3.6，</w:t>
            </w:r>
            <w:r>
              <w:rPr>
                <w:b/>
                <w:sz w:val="18"/>
              </w:rPr>
              <w:t>p=0.22</w:t>
            </w:r>
          </w:p>
        </w:tc>
      </w:tr>
      <w:tr>
        <w:tc>
          <w:tcPr>
            <w:tcW w:type="dxa" w:w="962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率差</w:t>
            </w:r>
          </w:p>
        </w:tc>
        <w:tc>
          <w:tcPr>
            <w:tcW w:type="dxa" w:w="7678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+3.3 个百分点</w:t>
            </w:r>
            <w:r>
              <w:rPr>
                <w:sz w:val="18"/>
              </w:rPr>
              <w:t xml:space="preserve">，95% CI </w:t>
            </w:r>
            <w:r>
              <w:rPr>
                <w:b/>
                <w:sz w:val="18"/>
              </w:rPr>
              <w:t>−2.0 至 +8.2</w:t>
            </w:r>
          </w:p>
        </w:tc>
      </w:tr>
    </w:tbl>
    <w:p/>
    <w:p>
      <w:r>
        <w:t>该项为</w:t>
      </w:r>
      <w:r>
        <w:rPr>
          <w:b/>
        </w:rPr>
        <w:t>预设的主要比较</w:t>
      </w:r>
      <w:r>
        <w:t>，结果为阴性；因样本量有限（检验效能仅 19%–51%），</w:t>
      </w:r>
    </w:p>
    <w:p>
      <w:r>
        <w:t>报告为"有界的阴性结果"而非等效性证据。</w:t>
      </w:r>
    </w:p>
    <w:p>
      <w:pPr>
        <w:pStyle w:val="Heading2"/>
      </w:pPr>
      <w:r>
        <w:rPr>
          <w:rFonts w:ascii="Times New Roman" w:hAnsi="Times New Roman"/>
          <w:color w:val="000000"/>
        </w:rPr>
        <w:t>4.5 持续性十二指肠梗阻：核心阳性发现（对应正文 §3.5，全篇最关键的一组数据）</w:t>
      </w:r>
    </w:p>
    <w:p>
      <w:r>
        <w:rPr>
          <w:b/>
        </w:rPr>
        <w:t>十二指肠梗阻只发生在腹腔镜完成组，开腹相关组零发生：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61"/>
        <w:gridCol w:w="6379"/>
      </w:tblGrid>
      <w:tr>
        <w:trPr>
          <w:tblHeader w:val="true"/>
        </w:trPr>
        <w:tc>
          <w:tcPr>
            <w:tcW w:type="dxa" w:w="2261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组别</w:t>
            </w:r>
          </w:p>
        </w:tc>
        <w:tc>
          <w:tcPr>
            <w:tcW w:type="dxa" w:w="6379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十二指肠梗阻再手术率</w:t>
            </w:r>
          </w:p>
        </w:tc>
      </w:tr>
      <w:tr>
        <w:tc>
          <w:tcPr>
            <w:tcW w:type="dxa" w:w="2261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腹腔镜完成</w:t>
            </w:r>
          </w:p>
        </w:tc>
        <w:tc>
          <w:tcPr>
            <w:tcW w:type="dxa" w:w="6379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12/255（4.7%）</w:t>
            </w:r>
          </w:p>
        </w:tc>
      </w:tr>
      <w:tr>
        <w:tc>
          <w:tcPr>
            <w:tcW w:type="dxa" w:w="2261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开腹相关</w:t>
            </w:r>
          </w:p>
        </w:tc>
        <w:tc>
          <w:tcPr>
            <w:tcW w:type="dxa" w:w="6379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0/195（0%）</w:t>
            </w:r>
          </w:p>
        </w:tc>
      </w:tr>
      <w:tr>
        <w:tc>
          <w:tcPr>
            <w:tcW w:type="dxa" w:w="2261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率差</w:t>
            </w:r>
          </w:p>
        </w:tc>
        <w:tc>
          <w:tcPr>
            <w:tcW w:type="dxa" w:w="6379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+4.7 个百分点，95% CI 1.9–8.0</w:t>
            </w:r>
          </w:p>
        </w:tc>
      </w:tr>
      <w:tr>
        <w:tc>
          <w:tcPr>
            <w:tcW w:type="dxa" w:w="2261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Holm 校正后 p</w:t>
            </w:r>
          </w:p>
        </w:tc>
        <w:tc>
          <w:tcPr>
            <w:tcW w:type="dxa" w:w="6379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0.010</w:t>
            </w:r>
            <w:r>
              <w:rPr>
                <w:sz w:val="18"/>
              </w:rPr>
              <w:t>（六类病因比较中唯一经多重校正后仍显著者）</w:t>
            </w:r>
          </w:p>
        </w:tc>
      </w:tr>
    </w:tbl>
    <w:p/>
    <w:p>
      <w:r>
        <w:t>因对照组为零事件，比值比不可估计（零单元），</w:t>
      </w:r>
      <w:r>
        <w:rPr>
          <w:b/>
        </w:rPr>
        <w:t>率差是唯一可解释的效应量</w:t>
      </w:r>
      <w:r>
        <w:t>。</w:t>
      </w:r>
    </w:p>
    <w:p>
      <w:pPr>
        <w:pStyle w:val="Heading2"/>
      </w:pPr>
      <w:r>
        <w:rPr>
          <w:rFonts w:ascii="Times New Roman" w:hAnsi="Times New Roman"/>
          <w:color w:val="000000"/>
        </w:rPr>
        <w:t>4.6 年龄分层：核心发现集中于新生儿（对应正文 §3.6，Table 4）</w:t>
      </w:r>
    </w:p>
    <w:p>
      <w:r>
        <w:t>12 例十二指肠梗阻按年龄呈双峰分布：6 例发生于术后 4–11 天龄新生儿，</w:t>
      </w:r>
    </w:p>
    <w:p>
      <w:r>
        <w:t>6 例发生于 6.6–13.1 岁儿童，11 天至 6.6 岁之间无一例。**该分层为事后所见，</w:t>
      </w:r>
    </w:p>
    <w:p>
      <w:r>
        <w:t>非预先设定的分析计划**。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89"/>
        <w:gridCol w:w="2213"/>
        <w:gridCol w:w="1789"/>
        <w:gridCol w:w="6448"/>
      </w:tblGrid>
      <w:tr>
        <w:trPr>
          <w:tblHeader w:val="true"/>
        </w:trPr>
        <w:tc>
          <w:tcPr>
            <w:tcW w:type="dxa" w:w="1789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年龄层</w:t>
            </w:r>
          </w:p>
        </w:tc>
        <w:tc>
          <w:tcPr>
            <w:tcW w:type="dxa" w:w="2213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腹腔镜完成</w:t>
            </w:r>
          </w:p>
        </w:tc>
        <w:tc>
          <w:tcPr>
            <w:tcW w:type="dxa" w:w="1789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开腹相关</w:t>
            </w:r>
          </w:p>
        </w:tc>
        <w:tc>
          <w:tcPr>
            <w:tcW w:type="dxa" w:w="6448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率差(95% CI)</w:t>
            </w:r>
          </w:p>
        </w:tc>
      </w:tr>
      <w:tr>
        <w:tc>
          <w:tcPr>
            <w:tcW w:type="dxa" w:w="1789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新生儿（&lt;28天）</w:t>
            </w:r>
          </w:p>
        </w:tc>
        <w:tc>
          <w:tcPr>
            <w:tcW w:type="dxa" w:w="2213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6/142（4.2%）</w:t>
            </w:r>
          </w:p>
        </w:tc>
        <w:tc>
          <w:tcPr>
            <w:tcW w:type="dxa" w:w="1789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0/163（0%）</w:t>
            </w:r>
          </w:p>
        </w:tc>
        <w:tc>
          <w:tcPr>
            <w:tcW w:type="dxa" w:w="6448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+4.2 pp（1.0–8.9）</w:t>
            </w:r>
          </w:p>
        </w:tc>
      </w:tr>
      <w:tr>
        <w:tc>
          <w:tcPr>
            <w:tcW w:type="dxa" w:w="1789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28天–1岁</w:t>
            </w:r>
          </w:p>
        </w:tc>
        <w:tc>
          <w:tcPr>
            <w:tcW w:type="dxa" w:w="2213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0/42</w:t>
            </w:r>
          </w:p>
        </w:tc>
        <w:tc>
          <w:tcPr>
            <w:tcW w:type="dxa" w:w="1789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0/19</w:t>
            </w:r>
          </w:p>
        </w:tc>
        <w:tc>
          <w:tcPr>
            <w:tcW w:type="dxa" w:w="6448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不可估</w:t>
            </w:r>
          </w:p>
        </w:tc>
      </w:tr>
      <w:tr>
        <w:tc>
          <w:tcPr>
            <w:tcW w:type="dxa" w:w="1789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≥1岁</w:t>
            </w:r>
          </w:p>
        </w:tc>
        <w:tc>
          <w:tcPr>
            <w:tcW w:type="dxa" w:w="2213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6/71（8.5%）</w:t>
            </w:r>
          </w:p>
        </w:tc>
        <w:tc>
          <w:tcPr>
            <w:tcW w:type="dxa" w:w="1789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0/13（0%）</w:t>
            </w:r>
          </w:p>
        </w:tc>
        <w:tc>
          <w:tcPr>
            <w:tcW w:type="dxa" w:w="6448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+8.5 pp（−14.8 至 +17.2，样本过小无法比较）</w:t>
            </w:r>
          </w:p>
        </w:tc>
      </w:tr>
    </w:tbl>
    <w:p/>
    <w:p>
      <w:pPr>
        <w:sectPr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rPr>
          <w:b/>
        </w:rPr>
        <w:t>新生儿层的率差经 Gray 竞争风险检验同样显著</w:t>
      </w:r>
      <w:r>
        <w:t>（χ²=7.01，p=0.008）。该组</w:t>
      </w:r>
    </w:p>
    <w:p>
      <w:r>
        <w:t>开腹相关新生儿中有 16 例在术后早期死亡（中位 1 天），使其暴露于再手术风险的</w:t>
      </w:r>
    </w:p>
    <w:p>
      <w:r>
        <w:t>时间被大幅缩短；敏感性测算显示，若其中恰有 1 例本应发生该结局而未被观测到，</w:t>
      </w:r>
    </w:p>
    <w:p>
      <w:r>
        <w:t>p 值将从 0.010 升至 0.053——**这是本研究认定的最主要局限之一，核心阳性结果</w:t>
      </w:r>
    </w:p>
    <w:p>
      <w:r>
        <w:t>对单个未观测竞争事件不稳健**。</w:t>
      </w:r>
    </w:p>
    <w:p>
      <w:pPr>
        <w:pStyle w:val="Heading2"/>
      </w:pPr>
      <w:r>
        <w:rPr>
          <w:rFonts w:ascii="Times New Roman" w:hAnsi="Times New Roman"/>
          <w:color w:val="000000"/>
        </w:rPr>
        <w:t>4.7 手术机制盲法复核（对应正文 §3.7，本研究的方法学核心）</w:t>
      </w:r>
    </w:p>
    <w:p>
      <w:r>
        <w:t>对 12 例十二指肠梗阻的手术记录做</w:t>
      </w:r>
      <w:r>
        <w:rPr>
          <w:b/>
        </w:rPr>
        <w:t>遮蔽入路信息</w:t>
      </w:r>
      <w:r>
        <w:t>的盲法机制复核：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44"/>
        <w:gridCol w:w="1371"/>
        <w:gridCol w:w="4025"/>
      </w:tblGrid>
      <w:tr>
        <w:trPr>
          <w:tblHeader w:val="true"/>
        </w:trPr>
        <w:tc>
          <w:tcPr>
            <w:tcW w:type="dxa" w:w="3244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机制</w:t>
            </w:r>
          </w:p>
        </w:tc>
        <w:tc>
          <w:tcPr>
            <w:tcW w:type="dxa" w:w="1371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例数</w:t>
            </w:r>
          </w:p>
        </w:tc>
        <w:tc>
          <w:tcPr>
            <w:tcW w:type="dxa" w:w="4025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特征</w:t>
            </w:r>
          </w:p>
        </w:tc>
      </w:tr>
      <w:tr>
        <w:tc>
          <w:tcPr>
            <w:tcW w:type="dxa" w:w="3244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术后新发粘连（首次手术已规范完成）</w:t>
            </w:r>
          </w:p>
        </w:tc>
        <w:tc>
          <w:tcPr>
            <w:tcW w:type="dxa" w:w="1371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9 例（75%）</w:t>
            </w:r>
          </w:p>
        </w:tc>
        <w:tc>
          <w:tcPr>
            <w:tcW w:type="dxa" w:w="4025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全部腹腔镜完成，含 3 例新生儿、6 例≥1岁儿童</w:t>
            </w:r>
          </w:p>
        </w:tc>
      </w:tr>
      <w:tr>
        <w:tc>
          <w:tcPr>
            <w:tcW w:type="dxa" w:w="3244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首次手术技术缺陷</w:t>
            </w:r>
            <w:r>
              <w:rPr>
                <w:sz w:val="18"/>
              </w:rPr>
              <w:t>（遗留未处理的解剖问题）</w:t>
            </w:r>
          </w:p>
        </w:tc>
        <w:tc>
          <w:tcPr>
            <w:tcW w:type="dxa" w:w="1371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 例（25%）</w:t>
            </w:r>
          </w:p>
        </w:tc>
        <w:tc>
          <w:tcPr>
            <w:tcW w:type="dxa" w:w="4025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全部为新生儿、全部为腹腔镜完成</w:t>
            </w:r>
          </w:p>
        </w:tc>
      </w:tr>
    </w:tbl>
    <w:p/>
    <w:p>
      <w:r>
        <w:t>3 例技术缺陷分别为：肠系膜根部完全松解后仍仅 2cm、白色膜状索带仍跨越降部和</w:t>
      </w:r>
    </w:p>
    <w:p>
      <w:r>
        <w:t>水平部十二指肠、十二指肠仍呈"Z"形扭曲。这一发现直接指向**新生儿腹腔镜 Ladd</w:t>
      </w:r>
    </w:p>
    <w:p>
      <w:r>
        <w:t>手术中十二指肠段游离是否彻底**这一具体的可核查操作环节，是本研究对临床操作</w:t>
      </w:r>
    </w:p>
    <w:p>
      <w:r>
        <w:t>最具体的提示。</w:t>
      </w:r>
    </w:p>
    <w:p>
      <w:pPr>
        <w:pStyle w:val="Heading2"/>
      </w:pPr>
      <w:r>
        <w:rPr>
          <w:rFonts w:ascii="Times New Roman" w:hAnsi="Times New Roman"/>
          <w:color w:val="000000"/>
        </w:rPr>
        <w:t>4.8 一致性检验（评审者间信度）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20"/>
        <w:gridCol w:w="6220"/>
      </w:tblGrid>
      <w:tr>
        <w:trPr>
          <w:tblHeader w:val="true"/>
        </w:trPr>
        <w:tc>
          <w:tcPr>
            <w:tcW w:type="dxa" w:w="2420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裁定项目</w:t>
            </w:r>
          </w:p>
        </w:tc>
        <w:tc>
          <w:tcPr>
            <w:tcW w:type="dxa" w:w="6220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一致性系数</w:t>
            </w:r>
          </w:p>
        </w:tc>
      </w:tr>
      <w:tr>
        <w:tc>
          <w:tcPr>
            <w:tcW w:type="dxa" w:w="242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病因分类（六选一）</w:t>
            </w:r>
          </w:p>
        </w:tc>
        <w:tc>
          <w:tcPr>
            <w:tcW w:type="dxa" w:w="622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κ=0.90（95% CI 0.81–0.99）</w:t>
            </w:r>
          </w:p>
        </w:tc>
      </w:tr>
      <w:tr>
        <w:tc>
          <w:tcPr>
            <w:tcW w:type="dxa" w:w="242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手术入路</w:t>
            </w:r>
          </w:p>
        </w:tc>
        <w:tc>
          <w:tcPr>
            <w:tcW w:type="dxa" w:w="622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κ=0.82</w:t>
            </w:r>
          </w:p>
        </w:tc>
      </w:tr>
      <w:tr>
        <w:tc>
          <w:tcPr>
            <w:tcW w:type="dxa" w:w="242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手术机制（技术缺陷/粘连）</w:t>
            </w:r>
          </w:p>
        </w:tc>
        <w:tc>
          <w:tcPr>
            <w:tcW w:type="dxa" w:w="622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κ=1.00（12 例全部一致，Wilson 95% CI 75.7–100%）</w:t>
            </w:r>
          </w:p>
        </w:tc>
      </w:tr>
      <w:tr>
        <w:tc>
          <w:tcPr>
            <w:tcW w:type="dxa" w:w="2420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资格裁定（是否原发 Ladd）</w:t>
            </w:r>
          </w:p>
        </w:tc>
        <w:tc>
          <w:tcPr>
            <w:tcW w:type="dxa" w:w="6220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κ=0.844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4.9 敏感性分析（对应正文 Table 3，验证 4.4 的阴性结果是否稳健）</w:t>
      </w:r>
    </w:p>
    <w:p>
      <w:r>
        <w:t>以下分析全部围绕总体再手术率这一主要比较展开，结果均与主分析一致（比值比</w:t>
      </w:r>
    </w:p>
    <w:p>
      <w:r>
        <w:t>1.41–1.64 之间，置信区间均跨过 1）：</w:t>
      </w:r>
    </w:p>
    <w:p>
      <w:pPr>
        <w:pStyle w:val="ListBullet"/>
      </w:pPr>
      <w:r>
        <w:t>竞争风险累积发生率法（Aalen-Johansen）：9.4% vs 6.2%</w:t>
      </w:r>
    </w:p>
    <w:p>
      <w:pPr>
        <w:pStyle w:val="ListBullet"/>
      </w:pPr>
      <w:r>
        <w:t>病因特异 Cox 回归：HR 1.41（95% CI 0.71–2.82）</w:t>
      </w:r>
    </w:p>
    <w:p>
      <w:pPr>
        <w:pStyle w:val="ListBullet"/>
      </w:pPr>
      <w:r>
        <w:t>Firth 惩罚回归（未调整 / 调整新生儿状态+首次手术坏死 / 调整年龄段+坏死）：OR 1.55–1.64</w:t>
      </w:r>
    </w:p>
    <w:p>
      <w:pPr>
        <w:pStyle w:val="ListBullet"/>
      </w:pPr>
      <w:r>
        <w:t>意向性分组（中转并入腹腔镜）：OR 2.45（0.97–7.4，p=0.060，未达显著）</w:t>
      </w:r>
    </w:p>
    <w:p>
      <w:pPr>
        <w:pStyle w:val="ListBullet"/>
      </w:pPr>
      <w:r>
        <w:t>剔除第四轮资格裁定的调整：OR 1.47（0.71–3.2）</w:t>
      </w:r>
    </w:p>
    <w:p>
      <w:pPr>
        <w:pStyle w:val="ListBullet"/>
      </w:pPr>
      <w:r>
        <w:t>手术年代分层（2017 年前后）：10.0% vs 8.8%，p=0.832，无年代效应</w:t>
      </w:r>
    </w:p>
    <w:p>
      <w:pPr>
        <w:pStyle w:val="Heading1"/>
      </w:pPr>
      <w:r>
        <w:rPr>
          <w:rFonts w:ascii="Times New Roman" w:hAnsi="Times New Roman"/>
          <w:color w:val="000000"/>
        </w:rPr>
        <w:t>五、核心结论（与投稿论文结论一致）</w:t>
      </w:r>
    </w:p>
    <w:p>
      <w:r>
        <w:t xml:space="preserve">1. </w:t>
      </w:r>
      <w:r>
        <w:rPr>
          <w:b/>
        </w:rPr>
        <w:t>总体再手术率在腹腔镜与开腹两种术式间无统计学差异</w:t>
      </w:r>
      <w:r>
        <w:t>（9.4% vs 6.2%，</w:t>
      </w:r>
    </w:p>
    <w:p>
      <w:r>
        <w:t xml:space="preserve">   率差 +3.3 个百分点，95% CI −2.0 至 +8.2）——这是预设的主要比较，为阴性结果。</w:t>
      </w:r>
    </w:p>
    <w:p>
      <w:r>
        <w:t xml:space="preserve">2. </w:t>
      </w:r>
      <w:r>
        <w:rPr>
          <w:b/>
        </w:rPr>
        <w:t>但再手术的病因构成因术式而异</w:t>
      </w:r>
      <w:r>
        <w:t>：持续性十二指肠梗阻仅发生于腹腔镜完成组</w:t>
      </w:r>
    </w:p>
    <w:p>
      <w:r>
        <w:t xml:space="preserve">   （12/255 vs 0/195，率差 +4.7 个百分点，Holm 校正 p=0.010），提示单纯比较</w:t>
      </w:r>
    </w:p>
    <w:p>
      <w:r>
        <w:t xml:space="preserve">   总体再手术率会掩盖病因层面的真实差异。</w:t>
      </w:r>
    </w:p>
    <w:p>
      <w:r>
        <w:t xml:space="preserve">3. </w:t>
      </w:r>
      <w:r>
        <w:rPr>
          <w:b/>
        </w:rPr>
        <w:t>该差异集中于新生儿</w:t>
      </w:r>
      <w:r>
        <w:t>（率差 +4.2 个百分点，95% CI 1.0–8.9），且这一结果</w:t>
      </w:r>
    </w:p>
    <w:p>
      <w:r>
        <w:t xml:space="preserve">   与病情严重度混杂的方向相反——开腹相关新生儿病情明显更重（坏死率高近 7 倍、</w:t>
      </w:r>
    </w:p>
    <w:p>
      <w:r>
        <w:t xml:space="preserve">   窗口期内全部死亡病例均在该组），若严重度是驱动因素，理应使并发症更多发生</w:t>
      </w:r>
    </w:p>
    <w:p>
      <w:r>
        <w:t xml:space="preserve">   在开腹组而非腹腔镜组。</w:t>
      </w:r>
    </w:p>
    <w:p>
      <w:r>
        <w:t xml:space="preserve">4. </w:t>
      </w:r>
      <w:r>
        <w:rPr>
          <w:b/>
        </w:rPr>
        <w:t>盲法机制复核显示，3 例新生儿腹腔镜十二指肠梗阻属首次手术技术缺陷</w:t>
      </w:r>
      <w:r>
        <w:t>，</w:t>
      </w:r>
    </w:p>
    <w:p>
      <w:r>
        <w:t xml:space="preserve">   为临床操作提供了具体、可核查的改进方向：新生儿腹腔镜 Ladd 手术中，</w:t>
      </w:r>
    </w:p>
    <w:p>
      <w:r>
        <w:t xml:space="preserve">   十二指肠段的游离完整性宜在术中主动确认。</w:t>
      </w:r>
    </w:p>
    <w:p>
      <w:r>
        <w:t>5. 本研究局限性：单中心、回顾性、13.5 年跨度；对照组事件稀疏导致比值比</w:t>
      </w:r>
    </w:p>
    <w:p>
      <w:r>
        <w:t xml:space="preserve">   在多处不可估计；年龄分层为事后所见、切点数据驱动；新生儿层核心结果对</w:t>
      </w:r>
    </w:p>
    <w:p>
      <w:r>
        <w:t xml:space="preserve">   单个未观测竞争事件不够稳健；未做正式的"入路×年龄"交互检验。以上局限</w:t>
      </w:r>
    </w:p>
    <w:p>
      <w:r>
        <w:t xml:space="preserve">   均已在论文 Discussion 的"Strengths and limitations"段如实披露。</w:t>
      </w:r>
    </w:p>
    <w:p>
      <w:pPr>
        <w:pStyle w:val="Heading1"/>
      </w:pPr>
      <w:r>
        <w:rPr>
          <w:rFonts w:ascii="Times New Roman" w:hAnsi="Times New Roman"/>
          <w:color w:val="000000"/>
        </w:rPr>
        <w:t>六、原始数据与分析脚本存档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10"/>
        <w:gridCol w:w="6620"/>
        <w:gridCol w:w="4510"/>
      </w:tblGrid>
      <w:tr>
        <w:trPr>
          <w:tblHeader w:val="true"/>
        </w:trPr>
        <w:tc>
          <w:tcPr>
            <w:tcW w:type="dxa" w:w="1110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类别</w:t>
            </w:r>
          </w:p>
        </w:tc>
        <w:tc>
          <w:tcPr>
            <w:tcW w:type="dxa" w:w="6620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文件</w:t>
            </w:r>
          </w:p>
        </w:tc>
        <w:tc>
          <w:tcPr>
            <w:tcW w:type="dxa" w:w="4510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11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原始数据</w:t>
            </w:r>
          </w:p>
        </w:tc>
        <w:tc>
          <w:tcPr>
            <w:tcW w:type="dxa" w:w="662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全部肠旋转不良数据.xlsx</w:t>
            </w:r>
          </w:p>
        </w:tc>
        <w:tc>
          <w:tcPr>
            <w:tcW w:type="dxa" w:w="451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结构化电子病历导出，含可识别信息，仅存于本机，不外传</w:t>
            </w:r>
          </w:p>
        </w:tc>
      </w:tr>
      <w:tr>
        <w:tc>
          <w:tcPr>
            <w:tcW w:type="dxa" w:w="111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双人盲法裁定表</w:t>
            </w:r>
          </w:p>
        </w:tc>
        <w:tc>
          <w:tcPr>
            <w:tcW w:type="dxa" w:w="662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裁定表.xlsx</w:t>
            </w:r>
          </w:p>
        </w:tc>
        <w:tc>
          <w:tcPr>
            <w:tcW w:type="dxa" w:w="451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结局、入路、病因、机制、资格五项独立盲法裁定的原始评分</w:t>
            </w:r>
          </w:p>
        </w:tc>
      </w:tr>
      <w:tr>
        <w:tc>
          <w:tcPr>
            <w:tcW w:type="dxa" w:w="111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数据加载</w:t>
            </w:r>
          </w:p>
        </w:tc>
        <w:tc>
          <w:tcPr>
            <w:tcW w:type="dxa" w:w="662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_dataprep.py</w:t>
            </w:r>
          </w:p>
        </w:tc>
        <w:tc>
          <w:tcPr>
            <w:tcW w:type="dxa" w:w="451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从原始数据库重建队列、分组、结局与竞争事件的公共入口</w:t>
            </w:r>
          </w:p>
        </w:tc>
      </w:tr>
      <w:tr>
        <w:tc>
          <w:tcPr>
            <w:tcW w:type="dxa" w:w="111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数字核对</w:t>
            </w:r>
          </w:p>
        </w:tc>
        <w:tc>
          <w:tcPr>
            <w:tcW w:type="dxa" w:w="662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full_number_audit.py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arith_audit.py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ref_audit.py</w:t>
            </w:r>
          </w:p>
        </w:tc>
        <w:tc>
          <w:tcPr>
            <w:tcW w:type="dxa" w:w="451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逐条复算论文正文中的数字、百分比、加总关系与参考文献对应关系</w:t>
            </w:r>
          </w:p>
        </w:tc>
      </w:tr>
      <w:tr>
        <w:tc>
          <w:tcPr>
            <w:tcW w:type="dxa" w:w="111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主要分析</w:t>
            </w:r>
          </w:p>
        </w:tc>
        <w:tc>
          <w:tcPr>
            <w:tcW w:type="dxa" w:w="662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stratified_analysis.py</w:t>
            </w:r>
          </w:p>
        </w:tc>
        <w:tc>
          <w:tcPr>
            <w:tcW w:type="dxa" w:w="451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生成 Table 2–4 的全部率、比值比、置信区间与敏感性分析</w:t>
            </w:r>
          </w:p>
        </w:tc>
      </w:tr>
      <w:tr>
        <w:tc>
          <w:tcPr>
            <w:tcW w:type="dxa" w:w="111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竞争风险分析</w:t>
            </w:r>
          </w:p>
        </w:tc>
        <w:tc>
          <w:tcPr>
            <w:tcW w:type="dxa" w:w="662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cif_english.py</w:t>
            </w:r>
          </w:p>
        </w:tc>
        <w:tc>
          <w:tcPr>
            <w:tcW w:type="dxa" w:w="451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Aalen-Johansen 累积发生率估计与图形</w:t>
            </w:r>
          </w:p>
        </w:tc>
      </w:tr>
      <w:tr>
        <w:tc>
          <w:tcPr>
            <w:tcW w:type="dxa" w:w="111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一致性检验</w:t>
            </w:r>
          </w:p>
        </w:tc>
        <w:tc>
          <w:tcPr>
            <w:tcW w:type="dxa" w:w="662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kappa_6cat.py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mechanism_kappa.py</w:t>
            </w:r>
          </w:p>
        </w:tc>
        <w:tc>
          <w:tcPr>
            <w:tcW w:type="dxa" w:w="451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病因六分类、机制二分类的评审者间一致性</w:t>
            </w:r>
          </w:p>
        </w:tc>
      </w:tr>
      <w:tr>
        <w:tc>
          <w:tcPr>
            <w:tcW w:type="dxa" w:w="1110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影像学交叉验证</w:t>
            </w:r>
          </w:p>
        </w:tc>
        <w:tc>
          <w:tcPr>
            <w:tcW w:type="dxa" w:w="6620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imaging_validation.py</w:t>
            </w:r>
          </w:p>
        </w:tc>
        <w:tc>
          <w:tcPr>
            <w:tcW w:type="dxa" w:w="4510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用术后造影这一独立数据源检验机制分类（结果为阴性，已如实写入论文局限性）</w:t>
            </w:r>
          </w:p>
        </w:tc>
      </w:tr>
    </w:tbl>
    <w:p/>
    <w:p>
      <w:pPr>
        <w:sectPr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 xml:space="preserve">本记录中全部数字已于 2026-09-20 用 </w:t>
      </w:r>
      <w:r>
        <w:rPr>
          <w:rFonts w:ascii="Consolas" w:hAnsi="Consolas"/>
          <w:sz w:val="20"/>
        </w:rPr>
        <w:t>full_number_audit.py</w:t>
      </w:r>
      <w:r>
        <w:t>（17 项数字判定，</w:t>
      </w:r>
    </w:p>
    <w:p>
      <w:r>
        <w:t xml:space="preserve">0 处不一致）与 </w:t>
      </w:r>
      <w:r>
        <w:rPr>
          <w:rFonts w:ascii="Consolas" w:hAnsi="Consolas"/>
          <w:sz w:val="20"/>
        </w:rPr>
        <w:t>arith_audit.py</w:t>
      </w:r>
      <w:r>
        <w:t>（30 处百分比复算一致，关键加总闭合）重新核对，</w:t>
      </w:r>
    </w:p>
    <w:p>
      <w:r>
        <w:t>与投稿论文正文（</w:t>
      </w:r>
      <w:r>
        <w:rPr>
          <w:rFonts w:ascii="Consolas" w:hAnsi="Consolas"/>
          <w:sz w:val="20"/>
        </w:rPr>
        <w:t>PedSurgInt_manuscript_v1.md</w:t>
      </w:r>
      <w:r>
        <w:t>）完全一致。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