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Supplementary material</w:t>
      </w:r>
    </w:p>
    <w:p>
      <w:r>
        <w:rPr>
          <w:b/>
        </w:rPr>
        <w:t>Early Unplanned Reoperation After Laparoscopic Versus Open Ladd Procedure: Adjudicated Cause and Mechanism in 450 Children</w:t>
      </w:r>
    </w:p>
    <w:p>
      <w:r>
        <w:t>Jun Shu, Kai Zheng, Hongqiang Bian, Jun Yang, Xin Wang</w:t>
      </w:r>
    </w:p>
    <w:p>
      <w:r>
        <w:rPr>
          <w:b/>
        </w:rPr>
        <w:t>Supplementary Table S4.</w:t>
      </w:r>
      <w:r>
        <w:t xml:space="preserve"> Full four-pass blinded adjudication protocol.</w:t>
      </w:r>
    </w:p>
    <w:p>
      <w:r>
        <w:t>Adjudication was performed in four independent passes designed to keep eligibility, exposure, outcome, and mechanism apart. Agreement for every adjudicated item is given in Supplementary Table S1.</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92"/>
        <w:gridCol w:w="2995"/>
        <w:gridCol w:w="2588"/>
        <w:gridCol w:w="3402"/>
        <w:gridCol w:w="2463"/>
      </w:tblGrid>
      <w:tr>
        <w:trPr>
          <w:tblHeader w:val="true"/>
        </w:trPr>
        <w:tc>
          <w:tcPr>
            <w:tcW w:type="dxa" w:w="7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Pass</w:t>
            </w:r>
          </w:p>
        </w:tc>
        <w:tc>
          <w:tcPr>
            <w:tcW w:type="dxa" w:w="299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What was adjudicated</w:t>
            </w:r>
          </w:p>
        </w:tc>
        <w:tc>
          <w:tcPr>
            <w:tcW w:type="dxa" w:w="258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Masking</w:t>
            </w:r>
          </w:p>
        </w:tc>
        <w:tc>
          <w:tcPr>
            <w:tcW w:type="dxa" w:w="340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Material read</w:t>
            </w:r>
          </w:p>
        </w:tc>
        <w:tc>
          <w:tcPr>
            <w:tcW w:type="dxa" w:w="246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Agreement</w:t>
            </w:r>
          </w:p>
        </w:tc>
      </w:tr>
      <w:tr>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2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of reoperation (six categories) and presence of an associated anomaly</w:t>
            </w:r>
          </w:p>
        </w:tc>
        <w:tc>
          <w:tcPr>
            <w:tcW w:type="dxa" w:w="25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All approach-identifying wording masked; reviewers blinded to whether the index operation had been laparoscopic or open</w:t>
            </w:r>
          </w:p>
        </w:tc>
        <w:tc>
          <w:tcPr>
            <w:tcW w:type="dxa" w:w="340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Reoperation operative narratives</w:t>
            </w:r>
          </w:p>
        </w:tc>
        <w:tc>
          <w:tcPr>
            <w:tcW w:type="dxa" w:w="246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κ=0.90 (95% CI 0.81–0.99; observed agreement 92.3%); associated-anomaly and prior-diagnosis fields κ=1.00</w:t>
            </w:r>
          </w:p>
        </w:tc>
      </w:tr>
      <w:tr>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2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approach and index severity</w:t>
            </w:r>
          </w:p>
        </w:tc>
        <w:tc>
          <w:tcPr>
            <w:tcW w:type="dxa" w:w="25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Reviewers did not know who had been reoperated</w:t>
            </w:r>
          </w:p>
        </w:tc>
        <w:tc>
          <w:tcPr>
            <w:tcW w:type="dxa" w:w="340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Complete index operative notes for a pool of 132 children: the 38 reoperations adjudicated at that time, mixed with 94 non-reoperated children drawn at random (22% of 427)</w:t>
            </w:r>
          </w:p>
        </w:tc>
        <w:tc>
          <w:tcPr>
            <w:tcW w:type="dxa" w:w="246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approach κ=0.82; index necrosis observed agreement 93.9% (PABAK 0.88); bowel resection 95.5% (PABAK 0.91)</w:t>
            </w:r>
          </w:p>
        </w:tc>
      </w:tr>
      <w:tr>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c>
          <w:tcPr>
            <w:tcW w:type="dxa" w:w="2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Mechanism of each persistent duodenal obstruction (technical deficiency / intrinsic lesion / postoperative periduodenal adhesion / indeterminate)</w:t>
            </w:r>
          </w:p>
        </w:tc>
        <w:tc>
          <w:tcPr>
            <w:tcW w:type="dxa" w:w="25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All abdominal-access wording masked; case order randomized; no access to age, study number, or index approach</w:t>
            </w:r>
          </w:p>
        </w:tc>
        <w:tc>
          <w:tcPr>
            <w:tcW w:type="dxa" w:w="340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Reoperation narratives of the 12 duodenal cases</w:t>
            </w:r>
          </w:p>
        </w:tc>
        <w:tc>
          <w:tcPr>
            <w:tcW w:type="dxa" w:w="246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Agreement on all 12 cases (100%; Wilson 95% CI 75.7–100%; κ=1.00)</w:t>
            </w:r>
          </w:p>
        </w:tc>
      </w:tr>
      <w:tr>
        <w:tc>
          <w:tcPr>
            <w:tcW w:type="dxa" w:w="7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299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Whether the index operation was a primary Ladd procedure</w:t>
            </w:r>
          </w:p>
        </w:tc>
        <w:tc>
          <w:tcPr>
            <w:tcW w:type="dxa" w:w="258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Records </w:t>
            </w:r>
            <w:r>
              <w:rPr>
                <w:i/>
                <w:sz w:val="18"/>
              </w:rPr>
              <w:t>after</w:t>
            </w:r>
            <w:r>
              <w:rPr>
                <w:sz w:val="18"/>
              </w:rPr>
              <w:t xml:space="preserve"> the index operation withheld, so reoperation status could not influence eligibility</w:t>
            </w:r>
          </w:p>
        </w:tc>
        <w:tc>
          <w:tcPr>
            <w:tcW w:type="dxa" w:w="340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Index operative note (abdominal-access wording masked) plus any preceding operations, for 19 children with a questionable index record</w:t>
            </w:r>
          </w:p>
        </w:tc>
        <w:tc>
          <w:tcPr>
            <w:tcW w:type="dxa" w:w="246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κ=0.844 (95% CI 0.640–1.00; observed agreement 89.5%); the two disagreements resolved by consensus</w:t>
            </w:r>
          </w:p>
        </w:tc>
      </w:tr>
    </w:tbl>
    <w:p/>
    <w:p>
      <w:pPr>
        <w:sectPr>
          <w:pgSz w:w="15840" w:h="12240" w:orient="landscape"/>
          <w:pgMar w:top="1440" w:right="1800" w:bottom="1440" w:left="1800" w:header="720" w:footer="720" w:gutter="0"/>
          <w:cols w:space="720"/>
          <w:docGrid w:linePitch="360"/>
        </w:sectPr>
      </w:pPr>
    </w:p>
    <w:p>
      <w:r>
        <w:rPr>
          <w:i/>
        </w:rPr>
        <w:t>Second pass.</w:t>
      </w:r>
      <w:r>
        <w:t xml:space="preserve"> This pass validated the keyword rules of §2.3, which assigned exposure for the remaining children. Disagreements were resolved by consensus. Agreement was quantified with Cohen's κ and, for rare binary outcomes, prevalence-adjusted bias-adjusted κ (PABAK) [16].</w:t>
      </w:r>
    </w:p>
    <w:p>
      <w:r>
        <w:rPr>
          <w:i/>
        </w:rPr>
        <w:t>Derivation of the</w:t>
      </w:r>
      <w:r>
        <w:t xml:space="preserve"> missed associated anomaly </w:t>
      </w:r>
      <w:r>
        <w:rPr>
          <w:i/>
        </w:rPr>
        <w:t>category.</w:t>
      </w:r>
      <w:r>
        <w:t xml:space="preserve"> This category was separated out from </w:t>
      </w:r>
      <w:r>
        <w:rPr>
          <w:i/>
        </w:rPr>
        <w:t>persistent duodenal obstruction</w:t>
      </w:r>
      <w:r>
        <w:t xml:space="preserve"> after adjudication. No record was re-read: membership is a deterministic function of two fields each reviewer had already scored independently under blinding (an associated anomaly other than "none", plus that anomaly having been unrecognized at the index operation), and agreement on both was perfect (κ=1.00). Applying that rule to each reviewer's own ratings gives their rating under the final taxonomy; agreement on cause was κ=0.90, unchanged from the scheme used at scoring, and the four disagreements were identical under both.</w:t>
      </w:r>
    </w:p>
    <w:p>
      <w:r>
        <w:rPr>
          <w:i/>
        </w:rPr>
        <w:t>Fourth-pass outcome.</w:t>
      </w:r>
      <w:r>
        <w:t xml:space="preserve"> Sixteen children were judged not to have had a primary Ladd operation by unanimous first-read agreement — four because the index record was a diagnostic endoscopy or biopsy, eight because the index operation was a redo Ladd for recurrent malrotation, and four because a previous Ladd had been performed and the index operation was not itself a Ladd. Two further children, on whom the reviewers initially disagreed, were excluded by consensus; both were resolved to the redo-Ladd category, bringing that category's total to ten (Supplementary Table S1). Separately, in three children whose earliest recorded operation was a preliminary procedure on the same admission (not itself a candidate for this pass), the index date was corrected to the nearby operation that was unambiguously the primary Ladd; only one of these three was also among the 19 children reviewed in this pass, and that child was excluded (redo-Ladd category) rather than retained. Three of the 39 reoperations initially identified were in children excluded by this pass, all aged over one year.</w:t>
      </w:r>
    </w:p>
    <w:p>
      <w:r>
        <w:rPr>
          <w:i/>
        </w:rPr>
        <w:t>Record retrieval.</w:t>
      </w:r>
      <w:r>
        <w:t xml:space="preserve"> Records for four children were absent from the research extract (three reoperations and one index operation); they were retrieved from the medical-records department and re-entered before analysis. In that one child the missing index note showed conversion to open, which would otherwise have been misclassified.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