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Early Unplanned Reoperation After Laparoscopic Versus Open Ladd Procedure: Adjudicated Cause and Mechanism in 450 Children</w:t>
      </w:r>
    </w:p>
    <w:p>
      <w:r>
        <w:t>Jun Shu, Kai Zheng, Hongqiang Bian, Jun Yang, Xin Wang</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4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 The same keyword rule was used to confirm cohort eligibility (§2.2, 31 children excluded); unlike approach and necrosis, this eligibility step was not separately validated against blinded reviewer consensus.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 The open-related comparator combines conversion and open surgery, which were not internally homogeneous (11.3% vs. 4.2%, p=0.091, §3.4); pooling them may dilute or exaggerate a true difference with either true open surgery or true conversion alone.</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6/450 (1.3%),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