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Supplementary material</w:t>
      </w:r>
    </w:p>
    <w:p>
      <w:r>
        <w:rPr>
          <w:b/>
        </w:rPr>
        <w:t>Early Unplanned Reoperation After Laparoscopic Versus Open Ladd Procedure: Adjudicated Cause and Mechanism in 450 Children</w:t>
      </w:r>
    </w:p>
    <w:p>
      <w:r>
        <w:t>Jun Shu, Kai Zheng, Hongqiang Bian, Jun Yang, Xin Wang</w:t>
      </w:r>
    </w:p>
    <w:p>
      <w:r>
        <w:rPr>
          <w:b/>
        </w:rPr>
        <w:t>Supplementary Table S5.</w:t>
      </w:r>
      <w:r>
        <w:t xml:space="preserve"> Secondary and sensitivity analyses, taxonomy check, and full limitations.</w:t>
      </w:r>
    </w:p>
    <w:p>
      <w:pPr>
        <w:pStyle w:val="Heading2"/>
      </w:pPr>
      <w:r>
        <w:rPr>
          <w:rFonts w:ascii="Times New Roman" w:hAnsi="Times New Roman"/>
          <w:color w:val="000000"/>
        </w:rPr>
        <w:t>S5a. Secondary and sensitivity analyses</w:t>
      </w:r>
    </w:p>
    <w:p>
      <w:r>
        <w:t>All are reported in Table 4 of the main text unless noted.</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418"/>
        <w:gridCol w:w="4896"/>
        <w:gridCol w:w="2925"/>
      </w:tblGrid>
      <w:tr>
        <w:trPr>
          <w:tblHeader w:val="true"/>
        </w:trPr>
        <w:tc>
          <w:tcPr>
            <w:tcW w:type="dxa" w:w="4418"/>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Analysis</w:t>
            </w:r>
          </w:p>
        </w:tc>
        <w:tc>
          <w:tcPr>
            <w:tcW w:type="dxa" w:w="489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Purpose</w:t>
            </w:r>
          </w:p>
        </w:tc>
        <w:tc>
          <w:tcPr>
            <w:tcW w:type="dxa" w:w="2925"/>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Result</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Mantel–Haenszel pooling across age bands</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Stratum-adjusted overall rate</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1.54 (0.74–3.24)</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Intention-to-treat regrouping (conversions with laparoscopic arm)</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 surgeon cannot know in advance which child will require conversion [13]</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2.45 (0.97–7.4), p=0.060</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Consensus-adjudicated subsample (n=124)</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Exposure misclassification</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2.03 (0.84–5.17)</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Era comparison within the laparoscopic arm (≤2017 vs. &gt;2017)</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Learning curve</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10.0% vs. 8.8%, p=0.832</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Firth + index year</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Approach was associated with calendar period</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1.49 (0.73–3.06)</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Counting planned staged reoperations as outcomes</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Outcome definition</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1.48 (0.74–3.1)</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Reverting the fourth-pass eligibility exclusions (n=468)</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Cohort definition</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OR 1.47 (0.71–3.2)</w:t>
            </w:r>
          </w:p>
        </w:tc>
      </w:tr>
      <w:tr>
        <w:tc>
          <w:tcPr>
            <w:tcW w:type="dxa" w:w="4418"/>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Gray's test within neonates</w:t>
            </w:r>
          </w:p>
        </w:tc>
        <w:tc>
          <w:tcPr>
            <w:tcW w:type="dxa" w:w="489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Competing risks</w:t>
            </w:r>
          </w:p>
        </w:tc>
        <w:tc>
          <w:tcPr>
            <w:tcW w:type="dxa" w:w="2925"/>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χ²=7.01, p=0.008</w:t>
            </w:r>
          </w:p>
        </w:tc>
      </w:tr>
      <w:tr>
        <w:tc>
          <w:tcPr>
            <w:tcW w:type="dxa" w:w="4418"/>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E-value for the neonatal association</w:t>
            </w:r>
          </w:p>
        </w:tc>
        <w:tc>
          <w:tcPr>
            <w:tcW w:type="dxa" w:w="489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Unmeasured confounding</w:t>
            </w:r>
          </w:p>
        </w:tc>
        <w:tc>
          <w:tcPr>
            <w:tcW w:type="dxa" w:w="2925"/>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2.10 (for the exact lower bound of 1.38)</w:t>
            </w:r>
          </w:p>
        </w:tc>
      </w:tr>
    </w:tbl>
    <w:p/>
    <w:p>
      <w:pPr>
        <w:sectPr>
          <w:pgSz w:w="15840" w:h="12240" w:orient="landscape"/>
          <w:pgMar w:top="1440" w:right="1800" w:bottom="1440" w:left="1800" w:header="720" w:footer="720" w:gutter="0"/>
          <w:cols w:space="720"/>
          <w:docGrid w:linePitch="360"/>
        </w:sectPr>
      </w:pPr>
    </w:p>
    <w:p>
      <w:r>
        <w:t>Cause-specific Cox regression was fitted censoring at the competing event, with the proportional-hazards assumption checked by scaled Schoenfeld residuals (p=0.15). Firth p values are from the penalized likelihood-ratio test, obtained by constraining the coefficient of interest to zero within the full design matrix, keeping the Jeffreys penalty at the same dimension in both models. Cumulative incidence used 1000-resample bootstrap bands with administrative censoring at 42 days, matching the outcome window.</w:t>
      </w:r>
    </w:p>
    <w:p>
      <w:pPr>
        <w:pStyle w:val="Heading2"/>
      </w:pPr>
      <w:r>
        <w:rPr>
          <w:rFonts w:ascii="Times New Roman" w:hAnsi="Times New Roman"/>
          <w:color w:val="000000"/>
        </w:rPr>
        <w:t>S5b. Taxonomy check against coded intrinsic duodenal anomalies</w:t>
      </w:r>
    </w:p>
    <w:p>
      <w:r>
        <w:t>As a check on the taxonomy, we asked whether a coded intrinsic duodenal anomaly predicted category-1 obstruction. We could not detect such a relation, but the comparison is uninformative: 1 of 20 such children had a category-1 reoperation (5.0%) versus 11/430 (2.6%) of the rest (OR 2.00, 95% CI 0.04–15.2, p=0.42), a point estimate above unity resting on a single event. It is consistent with the intended separation but does not establish it. Three of the four missed-anomaly reoperations occurred in children with an intrinsic duodenal anomaly somewhere in their record, but anomaly coding draws on text from all admissions including the reoperation, so that association cannot be interpreted.</w:t>
      </w:r>
    </w:p>
    <w:p>
      <w:pPr>
        <w:pStyle w:val="Heading2"/>
      </w:pPr>
      <w:r>
        <w:rPr>
          <w:rFonts w:ascii="Times New Roman" w:hAnsi="Times New Roman"/>
          <w:color w:val="000000"/>
        </w:rPr>
        <w:t>S5c. Postoperative contrast studies in the 12 duodenal reoperations</w:t>
      </w:r>
    </w:p>
    <w:p>
      <w:r>
        <w:t>Every imaging study performed between the index operation and the reoperation was retrieved from the radiology record (</w:t>
      </w:r>
      <w:r>
        <w:rPr>
          <w:rFonts w:ascii="Consolas" w:hAnsi="Consolas"/>
          <w:sz w:val="20"/>
        </w:rPr>
        <w:t>imaging_validation.py</w:t>
      </w:r>
      <w:r>
        <w:t>). All 12 children had imaging in that interval (31 studies after de-duplication: 19 plain radiographs, 11 ultrasound examinations, 1 computed tomogram). Eleven water-soluble contrast studies were performed, covering 8 of the 12 children — all 3 with a technically deficient index operation and 5 of the 9 with an adhesion mechanism.</w:t>
      </w:r>
    </w:p>
    <w:p>
      <w:r>
        <w:t>Each report was classified by whether it described impaired duodenal transit, using the explicit statement about contrast passage rather than the presence of morphological words, because "扩张" (dilated) appears both in positive statements and inside the negation "未见梗阻及扩张" (no obstruction or dilatation), and "显示不清" (poorly demonstrated) refers to image quality rather than obstruction.</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2512"/>
        <w:gridCol w:w="2403"/>
        <w:gridCol w:w="4484"/>
        <w:gridCol w:w="2841"/>
      </w:tblGrid>
      <w:tr>
        <w:trPr>
          <w:tblHeader w:val="true"/>
        </w:trPr>
        <w:tc>
          <w:tcPr>
            <w:tcW w:type="dxa" w:w="2512"/>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Mechanism</w:t>
            </w:r>
          </w:p>
        </w:tc>
        <w:tc>
          <w:tcPr>
            <w:tcW w:type="dxa" w:w="2403"/>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Last contrast study</w:t>
            </w:r>
          </w:p>
        </w:tc>
        <w:tc>
          <w:tcPr>
            <w:tcW w:type="dxa" w:w="4484"/>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Report</w:t>
            </w:r>
          </w:p>
        </w:tc>
        <w:tc>
          <w:tcPr>
            <w:tcW w:type="dxa" w:w="2841"/>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Days before reoperation</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Technical deficiency</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7</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no 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Technical deficiency</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15</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no 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Technical deficiency</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10</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Adhesion</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12</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Adhesion</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14</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Adhesion</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6</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impaired transit</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w:t>
            </w:r>
          </w:p>
        </w:tc>
      </w:tr>
      <w:tr>
        <w:tc>
          <w:tcPr>
            <w:tcW w:type="dxa" w:w="2512"/>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Adhesion</w:t>
            </w:r>
          </w:p>
        </w:tc>
        <w:tc>
          <w:tcPr>
            <w:tcW w:type="dxa" w:w="2403"/>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POD 7</w:t>
            </w:r>
          </w:p>
        </w:tc>
        <w:tc>
          <w:tcPr>
            <w:tcW w:type="dxa" w:w="4484"/>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duodenum not described</w:t>
            </w:r>
          </w:p>
        </w:tc>
        <w:tc>
          <w:tcPr>
            <w:tcW w:type="dxa" w:w="2841"/>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w:t>
            </w:r>
          </w:p>
        </w:tc>
      </w:tr>
      <w:tr>
        <w:tc>
          <w:tcPr>
            <w:tcW w:type="dxa" w:w="2512"/>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Adhesion</w:t>
            </w:r>
          </w:p>
        </w:tc>
        <w:tc>
          <w:tcPr>
            <w:tcW w:type="dxa" w:w="2403"/>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POD 18</w:t>
            </w:r>
          </w:p>
        </w:tc>
        <w:tc>
          <w:tcPr>
            <w:tcW w:type="dxa" w:w="4484"/>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morphology abnormal, transit preserved</w:t>
            </w:r>
          </w:p>
        </w:tc>
        <w:tc>
          <w:tcPr>
            <w:tcW w:type="dxa" w:w="2841"/>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r>
    </w:tbl>
    <w:p/>
    <w:p>
      <w:pPr>
        <w:sectPr>
          <w:pgSz w:w="15840" w:h="12240" w:orient="landscape"/>
          <w:pgMar w:top="1440" w:right="1800" w:bottom="1440" w:left="1800" w:header="720" w:footer="720" w:gutter="0"/>
          <w:cols w:space="720"/>
          <w:docGrid w:linePitch="360"/>
        </w:sectPr>
      </w:pPr>
    </w:p>
    <w:p>
      <w:r>
        <w:t>Two of the three technically deficient operations were preceded by a contrast study reporting normal duodenal transit; in one, three days before an operation that found membranous bands still covering the descending and horizontal duodenum. Contrast appearance did not separate the two mechanisms (impaired transit reported in 1/3 technical and 3/5 adhesion cases; Fisher p=1.00), and the spiral and coil-spring signs were seen in both. With eight evaluable studies these are case-series observations, not estimates of sensitivity or of a between-mechanism difference.</w:t>
      </w:r>
    </w:p>
    <w:p>
      <w:r>
        <w:rPr>
          <w:b/>
        </w:rPr>
        <w:t>Interval to reoperation did not separate the mechanisms either.</w:t>
      </w:r>
      <w:r>
        <w:t xml:space="preserve"> Median 18 days (17–22) after a technically deficient operation versus 15 days (10–20) after an adhesion mechanism (p=0.095), but that difference is confounded by age: all three technical cases were neonates. Restricted to neonates the two are indistinguishable (18 vs. 19 days, p=1.00). The interval instead separates the two </w:t>
      </w:r>
      <w:r>
        <w:rPr>
          <w:i/>
        </w:rPr>
        <w:t>age</w:t>
      </w:r>
      <w:r>
        <w:t xml:space="preserve"> clusters: 14 days (10–15) in children aged ≥1 year versus 18.5 days in neonates (p=0.005).</w:t>
      </w:r>
    </w:p>
    <w:p>
      <w:r>
        <w:t xml:space="preserve">Taken together, neither imaging appearance nor timing provides an external check on the mechanism classification, which therefore continues to rest on the operative record alone (S5d, </w:t>
      </w:r>
      <w:r>
        <w:rPr>
          <w:i/>
        </w:rPr>
        <w:t>Measurement</w:t>
      </w:r>
      <w:r>
        <w:t>).</w:t>
      </w:r>
    </w:p>
    <w:p>
      <w:pPr>
        <w:pStyle w:val="Heading2"/>
      </w:pPr>
      <w:r>
        <w:rPr>
          <w:rFonts w:ascii="Times New Roman" w:hAnsi="Times New Roman"/>
          <w:color w:val="000000"/>
        </w:rPr>
        <w:t>S5d. Full limitations</w:t>
      </w:r>
    </w:p>
    <w:p>
      <w:r>
        <w:rPr>
          <w:i/>
        </w:rPr>
        <w:t>Ascertainment.</w:t>
      </w:r>
      <w:r>
        <w:t xml:space="preserve"> This is a single-center retrospective study spanning 13.5 years; a child reoperated elsewhere, or managed non-operatively for the same problem, would not be captured, so 8.0% is the reoperated fraction rather than the complication rate. Children discharged against medical advice, in whom reoperation elsewhere would be most likely, were traced by telephone; 22 of 24 were accounted for and none had been operated elsewhere. The 2 who could not be contacted were both open-related neonates; counting them as unobserved duodenal reoperations — the most adverse assumption — would move the neonatal comparison to 6/142 versus 2/163 (p=0.15).</w:t>
      </w:r>
    </w:p>
    <w:p>
      <w:r>
        <w:rPr>
          <w:i/>
        </w:rPr>
        <w:t>The post hoc stratification.</w:t>
      </w:r>
      <w:r>
        <w:t xml:space="preserve"> The age stratification that shapes our conclusions was not prespecified; it was prompted by the bimodal age distribution of the duodenal-obstruction cases. Although the blinded mechanism data corroborate it independently of any subgroup test, it remains a post hoc division requiring confirmation in an independent cohort. The age cut-points were themselves data-driven and are covered by no multiplicity correction. We did not test the approach-by-age interaction formally: with no open-related event in any stratum the model is unidentifiable, so the difference between strata rests on separate tests, and a significant neonatal result alongside a null one beyond infancy is not itself evidence that the effect differs by age.</w:t>
      </w:r>
    </w:p>
    <w:p>
      <w:r>
        <w:rPr>
          <w:i/>
        </w:rPr>
        <w:t>Sparse events and separation.</w:t>
      </w:r>
      <w:r>
        <w:t xml:space="preserve"> The neonatal comparison rests on six events against a zero cell, so its lower confidence bound (1.38) is informative but its upper bound is not, and it is not robust to a single unobserved competing event: had one of the 16 open-related neonates who died reached a duodenal reoperation, p would move from 0.010 to 0.053. The expected number of such unobserved events is 0.68. The ≥1-year estimate is correspondingly imprecise, and the overall-rate comparison was underpowered (19% power for an odds ratio of 1.5, 51% for 2.0, against the observed open-related rate of 6.2%).</w:t>
      </w:r>
    </w:p>
    <w:p>
      <w:r>
        <w:rPr>
          <w:i/>
        </w:rPr>
        <w:t>Measurement.</w:t>
      </w:r>
      <w:r>
        <w:t xml:space="preserve"> Cause assignment used a single-choice scheme, and mixed presentations were forced to a dominant category by the prespecified priority rule. The mechanistic re-review was double-read under blinding with complete agreement, but both readers read the same records, so concordance measures reproducibility rather than accuracy: the distinction between a step left undone and adhesion around a correctly performed repair rests on what the surgeon chose to record, and a deficiency already corrected, or not remarked upon, would be missed by both readers. Agreement was also less demanding than it appears, since all three technically deficient cases were documented in unusually explicit terms. Operative narratives may carry inadvertent cues to approach despite masking. For the two rare binary severity items, positive agreement was modest (bowel resection: of seven records called positive by either reviewer, only one by both; Supplementary Table S1), so index necrosis, used as a covariate, carries measurement error that propagates into the adjusted estimates.</w:t>
      </w:r>
    </w:p>
    <w:p>
      <w:r>
        <w:rPr>
          <w:i/>
        </w:rPr>
        <w:t>Exposure.</w:t>
      </w:r>
      <w:r>
        <w:t xml:space="preserve"> Exposure was assigned by keyword rule and validated against blinded reviewer consensus in a 132-child subsample (κ=0.82); for the remainder it was not independently reviewed, though the rule and the reviewers agreed on 120 of 132 in that subsample and restricting the analysis to it changed nothing. Within the consensus-adjudicated subsample the keyword rule and the reviewer consensus disagreed on 5 of 124 children (4.0%). The intention-to-treat analysis is the one most sensitive to exposure misclassification, since most reviewer disagreements about approach lay on the very boundary it moves.</w:t>
      </w:r>
    </w:p>
    <w:p>
      <w:r>
        <w:rPr>
          <w:i/>
        </w:rPr>
        <w:t>Cohort and outcome definitions.</w:t>
      </w:r>
      <w:r>
        <w:t xml:space="preserve"> Planned staged reoperations were excluded by design; counting them as outcomes left the comparison null. Eighteen children whose index record proved not to be a primary Ladd procedure were excluded by blinded adjudication rather than as a sensitivity analysis alone; three had been reoperated, which is why the cohort and event count differ from the earliest-operation rule. The 42-day window is arbitrary: adhesive obstruction presenting later was not counted, so 8.5% after laparoscopy beyond one year is a lower bound, and the design cannot address recurrent volvulus, the outcome on which the comparative literature has focused, of which we saw two cases.</w:t>
      </w:r>
    </w:p>
    <w:p>
      <w:r>
        <w:rPr>
          <w:i/>
        </w:rPr>
        <w:t>Residual confounding and other.</w:t>
      </w:r>
      <w:r>
        <w:t xml:space="preserve"> Indication and urgency were not recorded separately, and index necrosis is only a partial proxy for them, so confounding by severity persists within strata. Associated-anomaly ascertainment was indeterminate for 6/450 (1.3%), and because anomaly coding draws on text from every admission including the reoperation, it records anomalies ever documented rather than anomalies known preoperatively. Reoperations may cluster by operating surgeon; we did not model surgeon-level clustering. Finally, two-thirds of this cohort presented as neonates, so the balance of causes may differ where malrotation more often presents beyond infancy.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