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Title:</w:t>
      </w:r>
      <w:r>
        <w:t xml:space="preserve"> Early Unplanned Reoperation After Laparoscopic Versus Open Ladd Procedure: Adjudicated Cause and Mechanism in 450 Children</w:t>
      </w:r>
    </w:p>
    <w:p>
      <w:r>
        <w:rPr>
          <w:b/>
        </w:rPr>
        <w:t>Short title:</w:t>
      </w:r>
      <w:r>
        <w:t xml:space="preserve"> Cause and mechanism of early reoperation after the Ladd procedure</w:t>
      </w:r>
    </w:p>
    <w:p>
      <w:r>
        <w:rPr>
          <w:b/>
        </w:rPr>
        <w:t>Authors:</w:t>
      </w:r>
      <w:r>
        <w:t xml:space="preserve"> Jun Shu, Kai Zheng, Hongqiang Bian, Jun Yang, Xin Wang*</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250 · Main text 3500</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Structured Abstract</w:t>
      </w:r>
    </w:p>
    <w:p>
      <w:r>
        <w:rPr>
          <w:b/>
        </w:rPr>
        <w:t>Background:</w:t>
      </w:r>
      <w:r>
        <w:t xml:space="preserve"> Laparoscopic and open Ladd procedures have been compared on overall morbidity without resolution; why children return to theater early is unclear. Recent work defines landmarks confirming a neonatal laparoscopic Ladd is complete, but not what is found when it fails. We examined the incidence, timing, adjudicated cause, and mechanism of early unplanned reoperation.</w:t>
      </w:r>
    </w:p>
    <w:p>
      <w:r>
        <w:rPr>
          <w:b/>
        </w:rPr>
        <w:t>Methods:</w:t>
      </w:r>
      <w:r>
        <w:t xml:space="preserve"> Single-center retrospective cohort of 450 children after primary Ladd operation (2012–2026). The outcome was unplanned reoperation within 42 days. Eligibility, index approach, cause, and mechanism were adjudicated in four independent blinded passes (κ 0.82–1.00). Cause-specific rates were compared by Fisher exact test with exact intervals and Holm correction; competing-risk and Firth analyses were secondary. Age stratification was post hoc.</w:t>
      </w:r>
    </w:p>
    <w:p>
      <w:r>
        <w:rPr>
          <w:b/>
        </w:rPr>
        <w:t>Results:</w:t>
      </w:r>
      <w:r>
        <w:t xml:space="preserve"> Reoperation occurred in 36/450 (8.0%), 67% on days 8–21 (median 14.5 days). Persistent duodenal obstruction was the commonest cause (12/36, 33.3%); it followed 12/255 (4.7%) laparoscopic completions and no open-related operation (risk difference +4.7%, 95% CI 1.9–8.0; Holm p=0.010); the odds ratio is not estimable. On blinded re-review, 9/12 were periduodenal adhesion and 3/12 a technical deficiency—residual bands, a 2-cm mesenteric base, a kinked duodenum—all three neonatal and laparoscopic. Cases clustered at 4–11 days and 6.6–13.1 years, none between; in neonates the risk difference was 4.2% (95% CI 1.0–8.9; 6/142 vs. 0/163). Overall rates did not differ (9.4% vs. 6.2%; risk difference +3.3%, 95% CI −2.0 to +8.2).</w:t>
      </w:r>
    </w:p>
    <w:p>
      <w:r>
        <w:rPr>
          <w:b/>
        </w:rPr>
        <w:t>Conclusions:</w:t>
      </w:r>
      <w:r>
        <w:t xml:space="preserve"> Overall rates were similar between approaches; the reason for returning to theater was not. Duodenal mobilization during neonatal laparoscopic Ladd warrants deliberate intraoperative confirmation and prospective study.</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w:t>
      </w:r>
    </w:p>
    <w:p>
      <w:pPr>
        <w:pStyle w:val="Heading1"/>
      </w:pPr>
      <w:r>
        <w:rPr>
          <w:rFonts w:ascii="Times New Roman" w:hAnsi="Times New Roman"/>
          <w:color w:val="000000"/>
        </w:rPr>
        <w:t>2.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Because the earliest recorded operation is not always the first Ladd procedure, every record whose earliest operation was a diagnostic endoscopy or biopsy, or whose coded diagnosis indicated a previous repair, was adjudicated case by case (§2.4); 19 were reviewed, 18 excluded, and in 3 the index operation was corrected to a later date. No child was excluded for age (oldest 14.2 years). The final cohort was 450 children (Figure 1); no a priori sample-size calculation was performed.</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(Table 3). Cumulative incidence functions were estimated by the Aalen–Johansen method [19] treating death as a competing event, and cause-specific Cox regression was fitted censoring at the competing event.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Table 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w:t>
      </w:r>
    </w:p>
    <w:p>
      <w:r>
        <w:t>Sex, age, index operation date, and index approach were complete for all 450 children. Text used for keyword ascertainment of associated anomalies was unavailable for 7/450 (1.6%);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(Figure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pStyle w:val="Heading2"/>
      </w:pPr>
      <w:r>
        <w:rPr>
          <w:rFonts w:ascii="Times New Roman" w:hAnsi="Times New Roman"/>
          <w:color w:val="000000"/>
        </w:rPr>
        <w:t>3.2 Incidence and timing</w:t>
      </w:r>
    </w:p>
    <w:p>
      <w:r>
        <w:t>Unplanned reoperation occurred in 36/450 children (8.0%, 95% CI 5.8–10.9). Of 53 candidate reoperations adjudicated, 17 were excluded (Figure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obstructive causes together accounted for 19/36 (52.8%) (Table 2).</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4). This is a bounded null rather than equivalence: the risk difference was +3.3 percentage points (95% CI −2.0 to +8.2), an interval still compatible with a clinically important excess.</w:t>
      </w:r>
    </w:p>
    <w:p>
      <w:r>
        <w:t>Every other analysis of the overall rate was concordant: competing-risk cumulative incidence 9.4% versus 6.2%, and the Cox, Firth, Mantel–Haenszel, planned-as-outcome and eligibility-reversion estimates all between 1.41 and 1.64, every interval including 1 (Table 4; Supplementary Figure S1). The proportional-hazards assumption held and no era effect was detected. The intention-to-treat regrouping was the largest estimate but did not reach significance (OR 2.45, 0.97–7.4, p=0.060).</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(Figure 2A). With 12 events we did not test this separation formally; it describes the observed distribution rather than establishing two populations.</w:t>
      </w:r>
    </w:p>
    <w:p>
      <w:r>
        <w:t>Among neonates, persistent duodenal obstruction followed 6/142 (4.2%) laparoscopic completions and 0/163 (0%) open-related operations (p=0.0096; risk difference 4.2 percentage points, 95% CI 1.0–8.9; number needed to harm 24) (Table 3, Figure 2B). The comparison held under formal competing-risk analysis, in the consensus-adjudicated subsample, and across eras (Table 3).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r>
        <w:t>No open-related child underwent this reoperation in any age stratum, so neither a crude nor a pooled odds ratio is estimable; the Firth-penalized estimates (Table 4)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3).</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every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3 footnote), enough to move the comparison to the edge of significance. What argues against chance is the direction of severity confounding, not the statistical stability of the stratum.</w:t>
      </w:r>
    </w:p>
    <w:p>
      <w:r>
        <w:t>It is also here that the operative notes documented a step of the Ladd procedure left undone: all three technically deficient index operations were neonatal and laparoscopic. The neonatal duodenum is a few millimeters wide, and dividing every band across it, mobilizing it retroperitoneally, and widening the mesenteric base are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This is a specific, verifiable requirement, not a general disadvantage of laparoscopy.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the p value falls because one cell is empty, not because risk is high.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in the single-digit range [2,3,4,8]. A 2026 meta-analysis reported more reoperations after laparoscopy (OR 1.67) [3], which we did not reproduce overall; a 2024 comparison reached the same null conclusion as ours [5]. Our results suggest the laparoscopic disadvantage lies less in recurrent volvulus (two children here) than in persistent duodenal obstruction.</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their appearance not separating the mechanisms. The 42-day window is arbitrary, so 8.5% after laparoscopy beyond one year is a lower bound, and the design cannot address recurrent volvulus. Indication and urgency were not recorded separately, so confounding by severity persists within strata.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evidence, pooled reoperation rates are hard to interpret; comparisons of approach should report cause-specific rates within age strata, and the duodenal portion of a neonatal laparoscopic Ladd warrants deliberate intraoperative confirmation and prospective study.</w:t>
      </w:r>
    </w:p>
    <w:p>
      <w:pPr>
        <w:pStyle w:val="Heading1"/>
      </w:pPr>
      <w:r>
        <w:rPr>
          <w:rFonts w:ascii="Times New Roman" w:hAnsi="Times New Roman"/>
          <w:color w:val="000000"/>
        </w:rPr>
        <w:t>Ethics approval</w:t>
      </w:r>
    </w:p>
    <w:p>
      <w:r>
        <w:t>Approved by the Ethics Committee of Wuhan Children’s Hospital (Wuhan Maternal and Child Healthcare Hospital), Tongji Medical College, Huazhong University of Science &amp; Technology (approval no. 2026R018-E01). Informed consent was waived owing to the retrospective design.</w:t>
      </w:r>
    </w:p>
    <w:p>
      <w:pPr>
        <w:pStyle w:val="Heading1"/>
      </w:pPr>
      <w:r>
        <w:rPr>
          <w:rFonts w:ascii="Times New Roman" w:hAnsi="Times New Roman"/>
          <w:color w:val="000000"/>
        </w:rPr>
        <w:t>Funding</w:t>
      </w:r>
    </w:p>
    <w:p>
      <w:r>
        <w:t>This research did not receive any specific grant from funding agencies in the public, commercial, or not-for-profit sectors.</w:t>
      </w:r>
    </w:p>
    <w:p>
      <w:pPr>
        <w:pStyle w:val="Heading1"/>
      </w:pPr>
      <w:r>
        <w:rPr>
          <w:rFonts w:ascii="Times New Roman" w:hAnsi="Times New Roman"/>
          <w:color w:val="000000"/>
        </w:rPr>
        <w:t>CRediT authorship contribution statement</w:t>
      </w:r>
    </w:p>
    <w:p>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pPr>
        <w:pStyle w:val="Heading1"/>
      </w:pPr>
      <w:r>
        <w:rPr>
          <w:rFonts w:ascii="Times New Roman" w:hAnsi="Times New Roman"/>
          <w:color w:val="000000"/>
        </w:rPr>
        <w:t>Declaration of competing interest</w:t>
      </w:r>
    </w:p>
    <w:p>
      <w:r>
        <w:t>Jun Shu, Kai Zheng, Hongqiang Bian, Jun Yang, and Xin Wang have no conflicts of interest or financial ties to disclose.</w:t>
      </w:r>
    </w:p>
    <w:p>
      <w:pPr>
        <w:pStyle w:val="Heading1"/>
      </w:pPr>
      <w:r>
        <w:rPr>
          <w:rFonts w:ascii="Times New Roman" w:hAnsi="Times New Roman"/>
          <w:color w:val="000000"/>
        </w:rPr>
        <w:t>Data availability</w:t>
      </w:r>
    </w:p>
    <w:p>
      <w:r>
        <w:t>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 of generative AI and AI-assisted technologies in the manuscript preparation process</w:t>
      </w:r>
    </w:p>
    <w:p>
      <w:r>
        <w:t>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 xml:space="preserve">1. Nehra D, Goldstein AM. Intestinal malrotation: varied clinical presentation from infancy through adulthood. </w:t>
      </w:r>
      <w:r>
        <w:rPr>
          <w:i/>
        </w:rPr>
        <w:t>Surgery</w:t>
      </w:r>
      <w:r>
        <w:t>. 2011;149(3):386-393.</w:t>
      </w:r>
    </w:p>
    <w:p>
      <w:r>
        <w:t xml:space="preserve">2. Catania VD, Lauriti G, Pierro A, Zani A. Open versus laparoscopic approach for intestinal malrotation in infants and children: a systematic review and meta-analysis. </w:t>
      </w:r>
      <w:r>
        <w:rPr>
          <w:i/>
        </w:rPr>
        <w:t>Pediatr Surg Int</w:t>
      </w:r>
      <w:r>
        <w:t>. 2016;32(12):1157-1164.</w:t>
      </w:r>
    </w:p>
    <w:p>
      <w:r>
        <w:t xml:space="preserve">3. Lang Y, Chen Q, Wu M, Chen G, Liu W, Yuan C. Laparoscopic vs open Ladd's procedure for intestinal malrotation in infants and children: a systematic review and meta-analysis. </w:t>
      </w:r>
      <w:r>
        <w:rPr>
          <w:i/>
        </w:rPr>
        <w:t>Surg Innov</w:t>
      </w:r>
      <w:r>
        <w:t>. 2026:15533506261460156.</w:t>
      </w:r>
    </w:p>
    <w:p>
      <w:r>
        <w:t xml:space="preserve">4. Zhang Z, Chen Y, Yan J. Laparoscopic versus open Ladd's procedure for intestinal malrotation in infants and children: a systematic review and meta-analysis. </w:t>
      </w:r>
      <w:r>
        <w:rPr>
          <w:i/>
        </w:rPr>
        <w:t>J Laparoendosc Adv Surg Tech A</w:t>
      </w:r>
      <w:r>
        <w:t>. 2022;32(2):204-212.</w:t>
      </w:r>
    </w:p>
    <w:p>
      <w:r>
        <w:t xml:space="preserve">5. Johnston WR, Hwang R, Mattei P. Laparoscopic versus open Ladd procedure for midgut malrotation. </w:t>
      </w:r>
      <w:r>
        <w:rPr>
          <w:i/>
        </w:rPr>
        <w:t>J Pediatr Surg</w:t>
      </w:r>
      <w:r>
        <w:t>. 2024;59(12):161673.</w:t>
      </w:r>
    </w:p>
    <w:p>
      <w:r>
        <w:t xml:space="preserve">6. Duy HP, Manh HV, Tran NX, Yoshimura S, Okata Y. Risk factors for postoperative volvulus and its laparoscopic management following laparoscopic Ladd's procedure in pediatric patients with intestinal malrotation: a single-center, retrospective cohort study. </w:t>
      </w:r>
      <w:r>
        <w:rPr>
          <w:i/>
        </w:rPr>
        <w:t>J Pediatr Surg</w:t>
      </w:r>
      <w:r>
        <w:t>. 2025;60(7):162356.</w:t>
      </w:r>
    </w:p>
    <w:p>
      <w:r>
        <w:t xml:space="preserve">7. Arnaud AP, Suply E, Eaton S, Blackburn SC, Giuliani S, Curry JI, et al. Laparoscopic Ladd's procedure for malrotation in infants and children is still a controversial approach. </w:t>
      </w:r>
      <w:r>
        <w:rPr>
          <w:i/>
        </w:rPr>
        <w:t>J Pediatr Surg</w:t>
      </w:r>
      <w:r>
        <w:t>. 2019;54(9):1843-1847.</w:t>
      </w:r>
    </w:p>
    <w:p>
      <w:r>
        <w:t xml:space="preserve">8. El-Gohary Y, Alagtal M, Gillick J. Long-term complications following operative intervention for intestinal malrotation: a 10-year review. </w:t>
      </w:r>
      <w:r>
        <w:rPr>
          <w:i/>
        </w:rPr>
        <w:t>Pediatr Surg Int</w:t>
      </w:r>
      <w:r>
        <w:t>. 2010;26(2):203-206.</w:t>
      </w:r>
    </w:p>
    <w:p>
      <w:r>
        <w:t xml:space="preserve">9. Salehi Karlslätt K, Husberg B, Ullberg U, Nordenskjöld A, Wester T. Intestinal malrotation in children: clinical presentation and outcomes. </w:t>
      </w:r>
      <w:r>
        <w:rPr>
          <w:i/>
        </w:rPr>
        <w:t>Eur J Pediatr Surg</w:t>
      </w:r>
      <w:r>
        <w:t>. 2024;34(3):228-235.</w:t>
      </w:r>
    </w:p>
    <w:p>
      <w:r>
        <w:t xml:space="preserve">10. Eksarko P, Nazir S, Kessler E, LeBlanc P, Zeidman M, Asarian AP, et al. Duodenal web associated with malrotation and review of literature. </w:t>
      </w:r>
      <w:r>
        <w:rPr>
          <w:i/>
        </w:rPr>
        <w:t>J Surg Case Rep</w:t>
      </w:r>
      <w:r>
        <w:t>. 2013;2013(12):rjt110.</w:t>
      </w:r>
    </w:p>
    <w:p>
      <w:r>
        <w:t xml:space="preserve">11. Gomaa IA, Mirande MD, Armenia SJ, Aboelmaaty S, Dozois EJ, Perry WRG. Intestinal malrotation in the adult population: diagnosis, management, and outcomes after laparoscopic Ladd procedure. </w:t>
      </w:r>
      <w:r>
        <w:rPr>
          <w:i/>
        </w:rPr>
        <w:t>J Gastrointest Surg</w:t>
      </w:r>
      <w:r>
        <w:t>. 2024;28(8):1339-1343.</w:t>
      </w:r>
    </w:p>
    <w:p>
      <w:r>
        <w:t xml:space="preserve">12. Xie W, Li Z, Wang Q, Wang L, Pan Y, Lu C. Laparoscopic vs open Ladd's procedure for malrotation in neonates and infants: a propensity score matching analysis. </w:t>
      </w:r>
      <w:r>
        <w:rPr>
          <w:i/>
        </w:rPr>
        <w:t>BMC Surg</w:t>
      </w:r>
      <w:r>
        <w:t>. 2022;22(1):25.</w:t>
      </w:r>
    </w:p>
    <w:p>
      <w:r>
        <w:t xml:space="preserve">13. Skertich NJ, Ingram MC, Grunvald M, Ritz E, Pillai S, Madonna MB, et al. Outcomes of laparoscopic versus open Ladd procedures and risk factors for conversion. </w:t>
      </w:r>
      <w:r>
        <w:rPr>
          <w:i/>
        </w:rPr>
        <w:t>J Laparoendosc Adv Surg Tech A</w:t>
      </w:r>
      <w:r>
        <w:t>. 2021;31(3):336-342.</w:t>
      </w:r>
    </w:p>
    <w:p>
      <w:r>
        <w:t xml:space="preserve">14. Zeng X, Lian N, Wang X, Du D. Abnormal anatomical landmarks: the guide points of laparoscopic Ladd's surgery for neonatal congenital intestinal malrotation. </w:t>
      </w:r>
      <w:r>
        <w:rPr>
          <w:i/>
        </w:rPr>
        <w:t>Surg Endosc</w:t>
      </w:r>
      <w:r>
        <w:t>. 2025;39(7):4386-4391.</w:t>
      </w:r>
    </w:p>
    <w:p>
      <w:r>
        <w:t xml:space="preserve">15. von Elm E, Altman DG, Egger M, Pocock SJ, Gøtzsche PC, Vandenbroucke JP; STROBE Initiative. The Strengthening the Reporting of Observational Studies in Epidemiology (STROBE) statement: guidelines for reporting observational studies. </w:t>
      </w:r>
      <w:r>
        <w:rPr>
          <w:i/>
        </w:rPr>
        <w:t>Lancet</w:t>
      </w:r>
      <w:r>
        <w:t>. 2007;370(9596):1453-1457.</w:t>
      </w:r>
    </w:p>
    <w:p>
      <w:r>
        <w:t xml:space="preserve">16. Byrt T, Bishop J, Carlin JB. Bias, prevalence and kappa. </w:t>
      </w:r>
      <w:r>
        <w:rPr>
          <w:i/>
        </w:rPr>
        <w:t>J Clin Epidemiol</w:t>
      </w:r>
      <w:r>
        <w:t>. 1993;46(5):423-429.</w:t>
      </w:r>
    </w:p>
    <w:p>
      <w:r>
        <w:t xml:space="preserve">17. Newcombe RG. Interval estimation for the difference between independent proportions: comparison of eleven methods. </w:t>
      </w:r>
      <w:r>
        <w:rPr>
          <w:i/>
        </w:rPr>
        <w:t>Stat Med</w:t>
      </w:r>
      <w:r>
        <w:t>. 1998;17(8):873-890.</w:t>
      </w:r>
    </w:p>
    <w:p>
      <w:r>
        <w:t xml:space="preserve">18. Holm S. A simple sequentially rejective multiple test procedure. </w:t>
      </w:r>
      <w:r>
        <w:rPr>
          <w:i/>
        </w:rPr>
        <w:t>Scand J Stat</w:t>
      </w:r>
      <w:r>
        <w:t>. 1979;6(2):65-70.</w:t>
      </w:r>
    </w:p>
    <w:p>
      <w:r>
        <w:t xml:space="preserve">19. Aalen OO, Johansen S. An empirical transition matrix for non-homogeneous Markov chains based on censored observations. </w:t>
      </w:r>
      <w:r>
        <w:rPr>
          <w:i/>
        </w:rPr>
        <w:t>Scand J Stat</w:t>
      </w:r>
      <w:r>
        <w:t>. 1978;5(3):141-150.</w:t>
      </w:r>
    </w:p>
    <w:p>
      <w:r>
        <w:t xml:space="preserve">20. Firth D. Bias reduction of maximum likelihood estimates. </w:t>
      </w:r>
      <w:r>
        <w:rPr>
          <w:i/>
        </w:rPr>
        <w:t>Biometrika</w:t>
      </w:r>
      <w:r>
        <w:t>. 1993;80(1):27-38.</w:t>
      </w:r>
    </w:p>
    <w:p>
      <w:r>
        <w:t xml:space="preserve">21. VanderWeele TJ, Ding P. Sensitivity analysis in observational research: introducing the E-value. </w:t>
      </w:r>
      <w:r>
        <w:rPr>
          <w:i/>
        </w:rPr>
        <w:t>Ann Intern Med</w:t>
      </w:r>
      <w:r>
        <w:t>. 2017;167(4):268-274.</w:t>
      </w:r>
    </w:p>
    <w:p>
      <w:r>
        <w:t xml:space="preserve">22. Bass KD, Rothenberg SS, Chang JH. Laparoscopic Ladd's procedure in infants with malrotation. </w:t>
      </w:r>
      <w:r>
        <w:rPr>
          <w:i/>
        </w:rPr>
        <w:t>J Pediatr Surg</w:t>
      </w:r>
      <w:r>
        <w:t>. 1998;33(2):279-281.</w:t>
      </w:r>
    </w:p>
    <w:p>
      <w:r>
        <w:t xml:space="preserve">23. da Costa KM, Saxena AK. Laparoscopic Ladd procedure for malrotation in newborns and infants. </w:t>
      </w:r>
      <w:r>
        <w:rPr>
          <w:i/>
        </w:rPr>
        <w:t>Am Surg</w:t>
      </w:r>
      <w:r>
        <w:t>. 2021;87(2):253-258.</w:t>
      </w:r>
    </w:p>
    <w:p>
      <w:r>
        <w:t xml:space="preserve">24. Takamoto N, Aso S, Konishi T, Fujiogi M, Kutsukake M, Yanagida Y, et al. Effect of adhesion barrier use during Ladd procedure for intestinal malrotation on postoperative midgut volvulus and postoperative small-bowel obstruction: a retrospective cohort study using a national inpatient database. </w:t>
      </w:r>
      <w:r>
        <w:rPr>
          <w:i/>
        </w:rPr>
        <w:t>J Am Coll Surg</w:t>
      </w:r>
      <w:r>
        <w:t>. 2026;242(5):1279-1288.</w:t>
      </w:r>
    </w:p>
    <w:p>
      <w:r>
        <w:t xml:space="preserve">25. Austin PC. Balance diagnostics for comparing the distribution of baseline covariates between treatment groups in propensity-score matched samples. </w:t>
      </w:r>
      <w:r>
        <w:rPr>
          <w:i/>
        </w:rPr>
        <w:t>Stat Med</w:t>
      </w:r>
      <w:r>
        <w:t>. 2009;28(25):3083-3107.</w:t>
      </w:r>
    </w:p>
    <w:p>
      <w:r>
        <w:br w:type="page"/>
      </w:r>
    </w:p>
    <w:p>
      <w:pPr>
        <w:pStyle w:val="Heading1"/>
      </w:pPr>
      <w:r>
        <w:rPr>
          <w:rFonts w:ascii="Times New Roman" w:hAnsi="Times New Roman"/>
          <w:color w:val="000000"/>
        </w:rPr>
        <w:t>Tables</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08"/>
        <w:gridCol w:w="1566"/>
        <w:gridCol w:w="2723"/>
        <w:gridCol w:w="1928"/>
        <w:gridCol w:w="916"/>
      </w:tblGrid>
      <w:tr>
        <w:trPr>
          <w:tblHeader w:val="true"/>
        </w:trPr>
        <w:tc>
          <w:tcPr>
            <w:tcW w:type="dxa" w:w="51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6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72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2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9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rPr>
              <w:t>†</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1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6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1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6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72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2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9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3). Necrosis is shown as a marker of index-operation severity, not a baseline demographic. Isolated patent foramen ovale, patent ductus arteriosus, and secundum atrial septal defect were treated as physiological in neonates. Diagnostic text was unavailable for 7/450 (1.6%),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t>† Age is strongly right-skewed, so its SMD is computed on the log(days + 1) scale; the median and IQR are shown untransformed, in months.</w:t>
      </w:r>
    </w:p>
    <w:p>
      <w:r>
        <w:br w:type="page"/>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t>† Coexisting malformation first identified or confirmed at reoperation: duodenal membrane 3, multiple jejunal atresia 1.</w:t>
      </w:r>
    </w:p>
    <w:p>
      <w:r>
        <w:t>‡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r>
        <w:br w:type="page"/>
      </w:r>
    </w:p>
    <w:p>
      <w:pPr>
        <w:sectPr>
          <w:pgSz w:w="12240" w:h="15840"/>
          <w:pgMar w:top="1440" w:right="1800" w:bottom="1440" w:left="1800" w:header="720" w:footer="720" w:gutter="0"/>
          <w:cols w:space="720"/>
          <w:docGrid w:linePitch="360"/>
        </w:sectPr>
      </w:pPr>
    </w:p>
    <w:p>
      <w:r>
        <w:rPr>
          <w:b/>
        </w:rPr>
        <w:t>Table 3.</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71"/>
        <w:gridCol w:w="3284"/>
        <w:gridCol w:w="2538"/>
        <w:gridCol w:w="1511"/>
        <w:gridCol w:w="1978"/>
        <w:gridCol w:w="858"/>
      </w:tblGrid>
      <w:tr>
        <w:trPr>
          <w:tblHeader w:val="true"/>
        </w:trPr>
        <w:tc>
          <w:tcPr>
            <w:tcW w:type="dxa" w:w="207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28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5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511"/>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7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5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7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28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5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511"/>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85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7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28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5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511"/>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7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85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t>§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br w:type="page"/>
      </w:r>
    </w:p>
    <w:p>
      <w:pPr>
        <w:sectPr>
          <w:pgSz w:w="12240" w:h="15840"/>
          <w:pgMar w:top="1440" w:right="1800" w:bottom="1440" w:left="1800" w:header="720" w:footer="720" w:gutter="0"/>
          <w:cols w:space="720"/>
          <w:docGrid w:linePitch="360"/>
        </w:sectPr>
      </w:pPr>
    </w:p>
    <w:p>
      <w:r>
        <w:rPr>
          <w:b/>
        </w:rPr>
        <w:t>Table 4.</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the confidence intervals span more than two orders of magnitude, and one of them includes unity despite a penalized likelihood-ratio p below 0.05. The age-stratified analysis in Table 3 shows where the association actually lies.</w:t>
      </w:r>
    </w:p>
    <w:p>
      <w:r>
        <w:br w:type="page"/>
      </w:r>
    </w:p>
    <w:p>
      <w:pPr>
        <w:pStyle w:val="Heading1"/>
      </w:pPr>
      <w:r>
        <w:rPr>
          <w:rFonts w:ascii="Times New Roman" w:hAnsi="Times New Roman"/>
          <w:color w:val="000000"/>
        </w:rPr>
        <w:t>Figure legends</w:t>
      </w:r>
    </w:p>
    <w:p>
      <w:pPr>
        <w:pStyle w:val="ListBullet"/>
      </w:pPr>
      <w:r>
        <w:rPr>
          <w:b/>
        </w:rPr>
        <w:t>Figure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4).</w:t>
      </w:r>
    </w:p>
    <w:p>
      <w:pPr>
        <w:pStyle w:val="ListBullet"/>
      </w:pPr>
      <w:r>
        <w:rPr>
          <w:b/>
        </w:rPr>
        <w:t>Figure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br w:type="page"/>
      </w:r>
    </w:p>
    <w:p>
      <w:pPr>
        <w:pStyle w:val="Heading1"/>
      </w:pPr>
      <w:r>
        <w:rPr>
          <w:rFonts w:ascii="Times New Roman" w:hAnsi="Times New Roman"/>
          <w:color w:val="000000"/>
        </w:rPr>
        <w:t>Figures</w:t>
      </w:r>
    </w:p>
    <w:p>
      <w:r>
        <w:rPr>
          <w:b/>
        </w:rPr>
        <w:t>Figure 1</w:t>
      </w:r>
    </w:p>
    <w:p>
      <w:pPr>
        <w:spacing w:line="240" w:lineRule="auto"/>
        <w:jc w:val="center"/>
      </w:pPr>
      <w:r>
        <w:drawing>
          <wp:inline xmlns:a="http://schemas.openxmlformats.org/drawingml/2006/main" xmlns:pic="http://schemas.openxmlformats.org/drawingml/2006/picture">
            <wp:extent cx="5760720" cy="4440555"/>
            <wp:docPr id="1" name="Picture 1" descr="Figure 1. Flow diagram: 499 children screened, 450 formed the primary Ladd cohort (255 laparoscopic, 53 conversion, 142 open), with unplanned-reoperation counts per arm and the outcome adjudication of 53 candidate reoperations to 36 included events." title="Figure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br w:type="page"/>
      </w:r>
    </w:p>
    <w:p>
      <w:r>
        <w:rPr>
          <w:b/>
        </w:rPr>
        <w:t>Figure 2</w:t>
      </w:r>
    </w:p>
    <w:p>
      <w:pPr>
        <w:spacing w:line="240" w:lineRule="auto"/>
        <w:jc w:val="center"/>
      </w:pPr>
      <w:r>
        <w:drawing>
          <wp:inline xmlns:a="http://schemas.openxmlformats.org/drawingml/2006/main" xmlns:pic="http://schemas.openxmlformats.org/drawingml/2006/picture">
            <wp:extent cx="5760720" cy="2649931"/>
            <wp:docPr id="2" name="Picture 2" descr="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ure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br w:type="page"/>
      </w:r>
    </w:p>
    <w:p>
      <w:pPr>
        <w:pStyle w:val="Heading1"/>
      </w:pPr>
      <w:r>
        <w:rPr>
          <w:rFonts w:ascii="Times New Roman" w:hAnsi="Times New Roman"/>
          <w:color w:val="000000"/>
        </w:rPr>
        <w:t>Supplementary material</w:t>
      </w:r>
    </w:p>
    <w:p>
      <w:pPr>
        <w:pStyle w:val="ListBullet"/>
      </w:pPr>
      <w:r>
        <w:rPr>
          <w:b/>
        </w:rPr>
        <w:t>Supplementary Table S1.</w:t>
      </w:r>
      <w:r>
        <w:t xml:space="preserve"> Inter-rater agreement for the four-pass blinded adjudication: Cohen’s κ with 95% confidence intervals for every adjudicated item, with observed agreement and prevalence-adjusted bias-adjusted κ (PABAK) for the rare binary items, and validation of the automated approach classifier against the reviewer consensus.</w:t>
      </w:r>
    </w:p>
    <w:p>
      <w:pPr>
        <w:pStyle w:val="ListBullet"/>
      </w:pPr>
      <w:r>
        <w:rPr>
          <w:b/>
        </w:rPr>
        <w:t>Supplementary Table S2.</w:t>
      </w:r>
      <w:r>
        <w:t xml:space="preserve"> Verbatim keyword rules used to assign index surgical approach and index bowel necrosis for all 450 children, with their agreement against blinded reviewer consensus.</w:t>
      </w:r>
    </w:p>
    <w:p>
      <w:pPr>
        <w:pStyle w:val="ListBullet"/>
      </w:pPr>
      <w:r>
        <w:rPr>
          <w:b/>
        </w:rPr>
        <w:t>Supplementary Table S3.</w:t>
      </w:r>
      <w:r>
        <w:t xml:space="preserve"> Timing of unplanned reoperation (n=36).</w:t>
      </w:r>
    </w:p>
    <w:p>
      <w:pPr>
        <w:pStyle w:val="ListBullet"/>
      </w:pPr>
      <w:r>
        <w:rPr>
          <w:b/>
        </w:rPr>
        <w:t>Supplementary Table S4.</w:t>
      </w:r>
      <w:r>
        <w:t xml:space="preserve"> Full four-pass blinded adjudication protocol, including the case-by-case eligibility review of 19 questionable index records and the derivation of the </w:t>
      </w:r>
      <w:r>
        <w:rPr>
          <w:i/>
        </w:rPr>
        <w:t>missed associated anomaly</w:t>
      </w:r>
      <w:r>
        <w:t xml:space="preserve"> category.</w:t>
      </w:r>
    </w:p>
    <w:p>
      <w:pPr>
        <w:pStyle w:val="ListBullet"/>
      </w:pPr>
      <w:r>
        <w:rPr>
          <w:b/>
        </w:rPr>
        <w:t>Supplementary Table S5.</w:t>
      </w:r>
      <w:r>
        <w:t xml:space="preserve"> Complete list of secondary and sensitivity analyses, the taxonomy check against coded intrinsic duodenal anomalies, and the full limitations of the study.</w:t>
      </w:r>
    </w:p>
    <w:p>
      <w:pPr>
        <w:pStyle w:val="ListBullet"/>
      </w:pPr>
      <w:r>
        <w:rPr>
          <w:b/>
        </w:rPr>
        <w:t>Supplementary Figure S1.</w:t>
      </w:r>
      <w:r>
        <w:t xml:space="preserve"> Competing-risk cumulative incidence of unplanned reoperation by index approach, with death as the competing event.</w:t>
      </w:r>
    </w:p>
    <w:p>
      <w:pPr>
        <w:pStyle w:val="ListBullet"/>
      </w:pPr>
      <w:r>
        <w:rPr>
          <w:b/>
        </w:rPr>
        <w:t>Supplementary Figure S2.</w:t>
      </w:r>
      <w:r>
        <w:t xml:space="preserve"> Cause-specific reoperation rates by index approach.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